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424E06" w:rsidRDefault="00C869F3" w:rsidP="00C869F3">
      <w:pPr>
        <w:spacing w:after="480"/>
      </w:pPr>
      <w:r w:rsidRPr="00424E06">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333FAA" w:rsidRPr="00424E06" w14:paraId="322EF0DF" w14:textId="77777777" w:rsidTr="00EB3CF0">
        <w:trPr>
          <w:tblHeader/>
        </w:trPr>
        <w:tc>
          <w:tcPr>
            <w:tcW w:w="3456" w:type="dxa"/>
            <w:tcBorders>
              <w:bottom w:val="single" w:sz="18" w:space="0" w:color="auto"/>
            </w:tcBorders>
          </w:tcPr>
          <w:p w14:paraId="10F9A427" w14:textId="77777777" w:rsidR="00333FAA" w:rsidRPr="00424E06" w:rsidRDefault="005811F8" w:rsidP="00F06E4E">
            <w:pPr>
              <w:pStyle w:val="Heading1"/>
              <w:spacing w:after="240"/>
              <w:outlineLvl w:val="0"/>
            </w:pPr>
            <w:r w:rsidRPr="00424E06">
              <w:t>Report for</w:t>
            </w:r>
            <w:r w:rsidR="00333FAA" w:rsidRPr="00424E06">
              <w:t>:</w:t>
            </w:r>
          </w:p>
        </w:tc>
        <w:tc>
          <w:tcPr>
            <w:tcW w:w="5054" w:type="dxa"/>
            <w:tcBorders>
              <w:bottom w:val="single" w:sz="18" w:space="0" w:color="auto"/>
            </w:tcBorders>
          </w:tcPr>
          <w:p w14:paraId="541B30E0" w14:textId="02A7040F" w:rsidR="00333FAA" w:rsidRPr="00424E06" w:rsidRDefault="005F0AAC" w:rsidP="00F06E4E">
            <w:pPr>
              <w:pStyle w:val="Heading1"/>
              <w:outlineLvl w:val="0"/>
              <w:rPr>
                <w:szCs w:val="24"/>
              </w:rPr>
            </w:pPr>
            <w:r w:rsidRPr="00424E06">
              <w:t xml:space="preserve">Planning Policy Advisory Panel </w:t>
            </w:r>
          </w:p>
        </w:tc>
      </w:tr>
      <w:tr w:rsidR="00333FAA" w:rsidRPr="00424E06" w14:paraId="67D60646" w14:textId="77777777" w:rsidTr="00EB3CF0">
        <w:tc>
          <w:tcPr>
            <w:tcW w:w="3456" w:type="dxa"/>
            <w:tcBorders>
              <w:top w:val="single" w:sz="18" w:space="0" w:color="auto"/>
            </w:tcBorders>
          </w:tcPr>
          <w:p w14:paraId="4DDB5947" w14:textId="77777777" w:rsidR="00333FAA" w:rsidRPr="00424E06" w:rsidRDefault="00333FAA" w:rsidP="00607C4E">
            <w:pPr>
              <w:pStyle w:val="Infotext"/>
              <w:spacing w:after="120"/>
              <w:rPr>
                <w:rFonts w:ascii="Arial Black" w:hAnsi="Arial Black" w:cs="Arial"/>
              </w:rPr>
            </w:pPr>
            <w:r w:rsidRPr="00424E06">
              <w:rPr>
                <w:rFonts w:ascii="Arial Black" w:hAnsi="Arial Black"/>
              </w:rPr>
              <w:t>Date of Meeting:</w:t>
            </w:r>
          </w:p>
        </w:tc>
        <w:tc>
          <w:tcPr>
            <w:tcW w:w="5054" w:type="dxa"/>
            <w:tcBorders>
              <w:top w:val="single" w:sz="18" w:space="0" w:color="auto"/>
            </w:tcBorders>
          </w:tcPr>
          <w:p w14:paraId="72FCD075" w14:textId="063AFED2" w:rsidR="00333FAA" w:rsidRPr="00424E06" w:rsidRDefault="00B424E1" w:rsidP="000843A7">
            <w:pPr>
              <w:tabs>
                <w:tab w:val="left" w:pos="2925"/>
              </w:tabs>
              <w:spacing w:after="120"/>
              <w:rPr>
                <w:rFonts w:cs="Arial"/>
                <w:szCs w:val="24"/>
              </w:rPr>
            </w:pPr>
            <w:r>
              <w:rPr>
                <w:rFonts w:cs="Arial"/>
                <w:szCs w:val="24"/>
              </w:rPr>
              <w:t>6 March 2023</w:t>
            </w:r>
          </w:p>
        </w:tc>
      </w:tr>
      <w:tr w:rsidR="00333FAA" w:rsidRPr="00424E06" w14:paraId="3CC97725" w14:textId="77777777" w:rsidTr="00EB3CF0">
        <w:tc>
          <w:tcPr>
            <w:tcW w:w="3456" w:type="dxa"/>
          </w:tcPr>
          <w:p w14:paraId="18BB8951" w14:textId="77777777" w:rsidR="00333FAA" w:rsidRPr="00424E06" w:rsidRDefault="00333FAA" w:rsidP="00607C4E">
            <w:pPr>
              <w:pStyle w:val="Infotext"/>
              <w:spacing w:after="120"/>
              <w:rPr>
                <w:rFonts w:ascii="Arial Black" w:hAnsi="Arial Black"/>
              </w:rPr>
            </w:pPr>
            <w:r w:rsidRPr="00424E06">
              <w:rPr>
                <w:rFonts w:ascii="Arial Black" w:hAnsi="Arial Black" w:cs="Arial"/>
              </w:rPr>
              <w:t>Subject:</w:t>
            </w:r>
          </w:p>
        </w:tc>
        <w:tc>
          <w:tcPr>
            <w:tcW w:w="5054" w:type="dxa"/>
          </w:tcPr>
          <w:p w14:paraId="6D8FB2C1" w14:textId="17D980B3" w:rsidR="00333FAA" w:rsidRPr="00424E06" w:rsidRDefault="00420183" w:rsidP="00607C4E">
            <w:pPr>
              <w:spacing w:after="120"/>
              <w:rPr>
                <w:rFonts w:eastAsia="Arial" w:cs="Arial"/>
                <w:szCs w:val="24"/>
              </w:rPr>
            </w:pPr>
            <w:r>
              <w:rPr>
                <w:rFonts w:cs="Arial"/>
              </w:rPr>
              <w:t xml:space="preserve">New </w:t>
            </w:r>
            <w:r w:rsidR="00C05E33" w:rsidRPr="00424E06">
              <w:rPr>
                <w:rFonts w:cs="Arial"/>
              </w:rPr>
              <w:t xml:space="preserve">Harrow Local Plan </w:t>
            </w:r>
            <w:r w:rsidR="008E3352">
              <w:rPr>
                <w:rFonts w:cs="Arial"/>
              </w:rPr>
              <w:t>–way forward</w:t>
            </w:r>
            <w:r w:rsidR="12235FA1" w:rsidRPr="00424E06">
              <w:rPr>
                <w:rFonts w:eastAsia="Arial" w:cs="Arial"/>
                <w:szCs w:val="24"/>
              </w:rPr>
              <w:t xml:space="preserve"> </w:t>
            </w:r>
            <w:r w:rsidR="000843A7">
              <w:rPr>
                <w:rFonts w:eastAsia="Arial" w:cs="Arial"/>
                <w:szCs w:val="24"/>
              </w:rPr>
              <w:t>and strategic objectives</w:t>
            </w:r>
            <w:r>
              <w:rPr>
                <w:rFonts w:eastAsia="Arial" w:cs="Arial"/>
                <w:szCs w:val="24"/>
              </w:rPr>
              <w:t xml:space="preserve"> </w:t>
            </w:r>
          </w:p>
        </w:tc>
      </w:tr>
      <w:tr w:rsidR="00333FAA" w:rsidRPr="00424E06" w14:paraId="32449166" w14:textId="77777777" w:rsidTr="00EB3CF0">
        <w:tc>
          <w:tcPr>
            <w:tcW w:w="3456" w:type="dxa"/>
          </w:tcPr>
          <w:p w14:paraId="17ECA8FA" w14:textId="77777777" w:rsidR="00333FAA" w:rsidRPr="00424E06" w:rsidRDefault="00333FAA" w:rsidP="00607C4E">
            <w:pPr>
              <w:pStyle w:val="Infotext"/>
              <w:spacing w:after="120"/>
              <w:rPr>
                <w:rFonts w:ascii="Arial Black" w:hAnsi="Arial Black" w:cs="Arial"/>
              </w:rPr>
            </w:pPr>
            <w:r w:rsidRPr="00424E06">
              <w:rPr>
                <w:rFonts w:ascii="Arial Black" w:hAnsi="Arial Black" w:cs="Arial"/>
              </w:rPr>
              <w:t>Key Decision:</w:t>
            </w:r>
          </w:p>
        </w:tc>
        <w:tc>
          <w:tcPr>
            <w:tcW w:w="5054" w:type="dxa"/>
          </w:tcPr>
          <w:p w14:paraId="3EADF2B3" w14:textId="52DE31D3" w:rsidR="00333FAA" w:rsidRPr="00424E06" w:rsidRDefault="004F309F" w:rsidP="00607C4E">
            <w:pPr>
              <w:pStyle w:val="Infotext"/>
              <w:spacing w:after="120"/>
              <w:rPr>
                <w:rFonts w:cs="Arial"/>
                <w:szCs w:val="24"/>
              </w:rPr>
            </w:pPr>
            <w:r>
              <w:rPr>
                <w:rFonts w:cs="Arial"/>
                <w:sz w:val="24"/>
                <w:szCs w:val="24"/>
              </w:rPr>
              <w:t xml:space="preserve">No – for information </w:t>
            </w:r>
            <w:r w:rsidR="008E3352">
              <w:rPr>
                <w:rFonts w:cs="Arial"/>
                <w:sz w:val="24"/>
                <w:szCs w:val="24"/>
              </w:rPr>
              <w:t>and discussion only</w:t>
            </w:r>
          </w:p>
        </w:tc>
      </w:tr>
      <w:tr w:rsidR="001C7E35" w:rsidRPr="00424E06" w14:paraId="79E96200" w14:textId="77777777" w:rsidTr="00EB3CF0">
        <w:tc>
          <w:tcPr>
            <w:tcW w:w="3456" w:type="dxa"/>
          </w:tcPr>
          <w:p w14:paraId="0B8ABDC4"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Responsible Officer:</w:t>
            </w:r>
          </w:p>
        </w:tc>
        <w:tc>
          <w:tcPr>
            <w:tcW w:w="5054" w:type="dxa"/>
          </w:tcPr>
          <w:p w14:paraId="3798BF23" w14:textId="000731B4" w:rsidR="001C7E35" w:rsidRPr="00424E06" w:rsidRDefault="0064258C" w:rsidP="00607C4E">
            <w:pPr>
              <w:pStyle w:val="Infotext"/>
              <w:spacing w:after="120"/>
              <w:rPr>
                <w:rFonts w:cs="Arial"/>
                <w:sz w:val="24"/>
                <w:szCs w:val="24"/>
              </w:rPr>
            </w:pPr>
            <w:r w:rsidRPr="00424E06">
              <w:rPr>
                <w:rFonts w:cs="Arial"/>
                <w:sz w:val="24"/>
                <w:szCs w:val="24"/>
              </w:rPr>
              <w:t xml:space="preserve">David Hughes </w:t>
            </w:r>
            <w:r w:rsidR="00451DAB" w:rsidRPr="00424E06">
              <w:rPr>
                <w:rFonts w:cs="Arial"/>
                <w:sz w:val="24"/>
                <w:szCs w:val="24"/>
              </w:rPr>
              <w:t>–</w:t>
            </w:r>
            <w:r w:rsidRPr="00424E06">
              <w:rPr>
                <w:rFonts w:cs="Arial"/>
                <w:sz w:val="24"/>
                <w:szCs w:val="24"/>
              </w:rPr>
              <w:t xml:space="preserve"> </w:t>
            </w:r>
            <w:r w:rsidR="00451DAB" w:rsidRPr="00424E06">
              <w:rPr>
                <w:rFonts w:cs="Arial"/>
                <w:sz w:val="24"/>
                <w:szCs w:val="24"/>
              </w:rPr>
              <w:t>Planning Policy Manager</w:t>
            </w:r>
            <w:r w:rsidRPr="00424E06">
              <w:rPr>
                <w:rFonts w:cs="Arial"/>
                <w:sz w:val="24"/>
                <w:szCs w:val="24"/>
              </w:rPr>
              <w:br/>
            </w:r>
            <w:r w:rsidR="00475064" w:rsidRPr="00424E06">
              <w:rPr>
                <w:rFonts w:cs="Arial"/>
                <w:sz w:val="24"/>
                <w:szCs w:val="24"/>
              </w:rPr>
              <w:t>Viv Evans</w:t>
            </w:r>
            <w:r w:rsidR="00436E8C" w:rsidRPr="00424E06">
              <w:rPr>
                <w:rFonts w:cs="Arial"/>
                <w:sz w:val="24"/>
                <w:szCs w:val="24"/>
              </w:rPr>
              <w:t xml:space="preserve"> – Chief Planning Officer</w:t>
            </w:r>
          </w:p>
        </w:tc>
      </w:tr>
      <w:tr w:rsidR="001C7E35" w:rsidRPr="00424E06" w14:paraId="3B6FD8B1" w14:textId="77777777" w:rsidTr="00EB3CF0">
        <w:tc>
          <w:tcPr>
            <w:tcW w:w="3456" w:type="dxa"/>
          </w:tcPr>
          <w:p w14:paraId="0961945D" w14:textId="77777777" w:rsidR="001C7E35" w:rsidRPr="00424E06" w:rsidRDefault="001C7E35" w:rsidP="00607C4E">
            <w:pPr>
              <w:pStyle w:val="Infotext"/>
              <w:spacing w:after="120"/>
              <w:rPr>
                <w:rFonts w:ascii="Arial Black" w:hAnsi="Arial Black"/>
              </w:rPr>
            </w:pPr>
            <w:r w:rsidRPr="00424E06">
              <w:rPr>
                <w:rFonts w:ascii="Arial Black" w:hAnsi="Arial Black"/>
              </w:rPr>
              <w:t>Portfolio Holder:</w:t>
            </w:r>
          </w:p>
        </w:tc>
        <w:tc>
          <w:tcPr>
            <w:tcW w:w="5054" w:type="dxa"/>
          </w:tcPr>
          <w:p w14:paraId="39A9A01A" w14:textId="7E25AE67" w:rsidR="001C7E35" w:rsidRPr="00424E06" w:rsidRDefault="00615310" w:rsidP="00607C4E">
            <w:pPr>
              <w:pStyle w:val="Infotext"/>
              <w:spacing w:after="120"/>
              <w:rPr>
                <w:rFonts w:cs="Arial"/>
                <w:sz w:val="24"/>
                <w:szCs w:val="24"/>
              </w:rPr>
            </w:pPr>
            <w:r w:rsidRPr="00424E06">
              <w:rPr>
                <w:rFonts w:cs="Arial"/>
                <w:sz w:val="24"/>
                <w:szCs w:val="24"/>
              </w:rPr>
              <w:t xml:space="preserve">Cllr Marilyn Ashton – </w:t>
            </w:r>
            <w:r w:rsidR="008F2B72" w:rsidRPr="00424E06">
              <w:rPr>
                <w:rFonts w:cs="Arial"/>
                <w:sz w:val="24"/>
                <w:szCs w:val="24"/>
              </w:rPr>
              <w:t xml:space="preserve">Deputy Leader of the Council and </w:t>
            </w:r>
            <w:r w:rsidR="572A1647" w:rsidRPr="00424E06">
              <w:rPr>
                <w:rFonts w:cs="Arial"/>
                <w:sz w:val="24"/>
                <w:szCs w:val="24"/>
              </w:rPr>
              <w:t xml:space="preserve">Portfolio Holder </w:t>
            </w:r>
            <w:r w:rsidR="0011275C" w:rsidRPr="00424E06">
              <w:rPr>
                <w:rFonts w:cs="Arial"/>
                <w:sz w:val="24"/>
                <w:szCs w:val="24"/>
              </w:rPr>
              <w:t xml:space="preserve">for </w:t>
            </w:r>
            <w:r w:rsidR="00475064" w:rsidRPr="00424E06">
              <w:rPr>
                <w:rFonts w:cs="Arial"/>
                <w:sz w:val="24"/>
                <w:szCs w:val="24"/>
              </w:rPr>
              <w:t xml:space="preserve">Planning and Regeneration </w:t>
            </w:r>
          </w:p>
        </w:tc>
      </w:tr>
      <w:tr w:rsidR="001C7E35" w:rsidRPr="00424E06" w14:paraId="3CF618C8" w14:textId="77777777" w:rsidTr="00EB3CF0">
        <w:tc>
          <w:tcPr>
            <w:tcW w:w="3456" w:type="dxa"/>
          </w:tcPr>
          <w:p w14:paraId="4CD8D092" w14:textId="77777777" w:rsidR="001C7E35" w:rsidRPr="00424E06" w:rsidRDefault="001C7E35" w:rsidP="00607C4E">
            <w:pPr>
              <w:pStyle w:val="Infotext"/>
              <w:spacing w:after="120"/>
              <w:rPr>
                <w:rFonts w:ascii="Arial Black" w:hAnsi="Arial Black"/>
                <w:highlight w:val="yellow"/>
              </w:rPr>
            </w:pPr>
            <w:r w:rsidRPr="00424E06">
              <w:rPr>
                <w:rFonts w:ascii="Arial Black" w:hAnsi="Arial Black"/>
              </w:rPr>
              <w:t>Exempt:</w:t>
            </w:r>
          </w:p>
        </w:tc>
        <w:tc>
          <w:tcPr>
            <w:tcW w:w="5054" w:type="dxa"/>
          </w:tcPr>
          <w:p w14:paraId="755E47D1" w14:textId="3A45D89B" w:rsidR="001C7E35" w:rsidRPr="00424E06" w:rsidRDefault="001A1E17" w:rsidP="00607C4E">
            <w:pPr>
              <w:pStyle w:val="Infotext"/>
              <w:spacing w:after="120"/>
              <w:rPr>
                <w:rFonts w:cs="Arial"/>
                <w:sz w:val="24"/>
                <w:szCs w:val="24"/>
              </w:rPr>
            </w:pPr>
            <w:r w:rsidRPr="00424E06">
              <w:rPr>
                <w:rFonts w:cs="Arial"/>
                <w:sz w:val="24"/>
                <w:szCs w:val="24"/>
              </w:rPr>
              <w:t>No</w:t>
            </w:r>
          </w:p>
        </w:tc>
      </w:tr>
      <w:tr w:rsidR="001C7E35" w:rsidRPr="00424E06" w14:paraId="577CD75A" w14:textId="77777777" w:rsidTr="00EB3CF0">
        <w:tc>
          <w:tcPr>
            <w:tcW w:w="3456" w:type="dxa"/>
          </w:tcPr>
          <w:p w14:paraId="4821943C" w14:textId="77777777" w:rsidR="001C7E35" w:rsidRPr="00424E06" w:rsidRDefault="001C7E35" w:rsidP="00607C4E">
            <w:pPr>
              <w:pStyle w:val="Infotext"/>
              <w:spacing w:after="120"/>
              <w:rPr>
                <w:rFonts w:ascii="Arial Black" w:hAnsi="Arial Black"/>
                <w:highlight w:val="yellow"/>
              </w:rPr>
            </w:pPr>
            <w:r w:rsidRPr="00424E06">
              <w:rPr>
                <w:rFonts w:ascii="Arial Black" w:hAnsi="Arial Black"/>
              </w:rPr>
              <w:t>Decision subject to Call-in:</w:t>
            </w:r>
          </w:p>
        </w:tc>
        <w:tc>
          <w:tcPr>
            <w:tcW w:w="5054" w:type="dxa"/>
          </w:tcPr>
          <w:p w14:paraId="0AECD361" w14:textId="053C50B5" w:rsidR="001C7E35" w:rsidRPr="00424E06" w:rsidRDefault="008E3352" w:rsidP="00607C4E">
            <w:pPr>
              <w:pStyle w:val="Infotext"/>
              <w:spacing w:after="120"/>
              <w:rPr>
                <w:rFonts w:cs="Arial"/>
                <w:szCs w:val="24"/>
              </w:rPr>
            </w:pPr>
            <w:r>
              <w:rPr>
                <w:rFonts w:cs="Arial"/>
                <w:sz w:val="24"/>
                <w:szCs w:val="24"/>
              </w:rPr>
              <w:t>No – for information and discussion only</w:t>
            </w:r>
          </w:p>
          <w:p w14:paraId="3A75E271" w14:textId="77777777" w:rsidR="00714BEE" w:rsidRPr="00424E06" w:rsidRDefault="00714BEE" w:rsidP="00607C4E">
            <w:pPr>
              <w:spacing w:after="120"/>
              <w:rPr>
                <w:rFonts w:cs="Arial"/>
                <w:szCs w:val="24"/>
              </w:rPr>
            </w:pPr>
          </w:p>
        </w:tc>
      </w:tr>
      <w:tr w:rsidR="001C7E35" w:rsidRPr="00424E06" w14:paraId="7E5497E1" w14:textId="77777777" w:rsidTr="00EB3CF0">
        <w:tc>
          <w:tcPr>
            <w:tcW w:w="3456" w:type="dxa"/>
          </w:tcPr>
          <w:p w14:paraId="6B5E6A6A"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Wards affected:</w:t>
            </w:r>
          </w:p>
        </w:tc>
        <w:tc>
          <w:tcPr>
            <w:tcW w:w="5054" w:type="dxa"/>
          </w:tcPr>
          <w:p w14:paraId="52E38AE7" w14:textId="2196F61C" w:rsidR="00307F76" w:rsidRPr="00424E06" w:rsidRDefault="0001527B" w:rsidP="00607C4E">
            <w:pPr>
              <w:spacing w:after="120"/>
              <w:rPr>
                <w:rFonts w:cs="Arial"/>
                <w:b/>
                <w:szCs w:val="24"/>
              </w:rPr>
            </w:pPr>
            <w:r w:rsidRPr="00424E06">
              <w:rPr>
                <w:rFonts w:cs="Arial"/>
                <w:szCs w:val="24"/>
              </w:rPr>
              <w:t>All Wards</w:t>
            </w:r>
          </w:p>
        </w:tc>
      </w:tr>
      <w:tr w:rsidR="001C7E35" w:rsidRPr="00424E06" w14:paraId="5F1445BF" w14:textId="77777777" w:rsidTr="00EB3CF0">
        <w:tc>
          <w:tcPr>
            <w:tcW w:w="3456" w:type="dxa"/>
          </w:tcPr>
          <w:p w14:paraId="0E539C63" w14:textId="77777777" w:rsidR="001C7E35" w:rsidRPr="00424E06" w:rsidRDefault="001C7E35" w:rsidP="00607C4E">
            <w:pPr>
              <w:pStyle w:val="Infotext"/>
              <w:spacing w:after="120"/>
              <w:rPr>
                <w:rFonts w:ascii="Arial Black" w:hAnsi="Arial Black" w:cs="Arial"/>
              </w:rPr>
            </w:pPr>
            <w:r w:rsidRPr="00424E06">
              <w:rPr>
                <w:rFonts w:ascii="Arial Black" w:hAnsi="Arial Black" w:cs="Arial"/>
              </w:rPr>
              <w:t>Enclosures:</w:t>
            </w:r>
          </w:p>
        </w:tc>
        <w:tc>
          <w:tcPr>
            <w:tcW w:w="5054" w:type="dxa"/>
          </w:tcPr>
          <w:p w14:paraId="6668D730" w14:textId="5367264C" w:rsidR="001C7E35" w:rsidRPr="00424E06" w:rsidRDefault="003246EC" w:rsidP="00607C4E">
            <w:pPr>
              <w:pStyle w:val="Infotext"/>
              <w:spacing w:after="120"/>
              <w:rPr>
                <w:rFonts w:cs="Arial"/>
                <w:sz w:val="24"/>
                <w:szCs w:val="24"/>
              </w:rPr>
            </w:pPr>
            <w:r>
              <w:rPr>
                <w:rFonts w:cs="Arial"/>
                <w:sz w:val="24"/>
                <w:szCs w:val="24"/>
              </w:rP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rsidRPr="00424E06" w14:paraId="39320826" w14:textId="77777777" w:rsidTr="000A43CE">
        <w:trPr>
          <w:tblHeader/>
        </w:trPr>
        <w:tc>
          <w:tcPr>
            <w:tcW w:w="8309" w:type="dxa"/>
            <w:tcBorders>
              <w:top w:val="nil"/>
              <w:left w:val="nil"/>
              <w:right w:val="nil"/>
            </w:tcBorders>
          </w:tcPr>
          <w:p w14:paraId="3A67BFB3" w14:textId="77777777" w:rsidR="00333FAA" w:rsidRPr="00424E06" w:rsidRDefault="00333FAA" w:rsidP="00605A4C">
            <w:pPr>
              <w:pStyle w:val="Heading2"/>
              <w:spacing w:after="240"/>
            </w:pPr>
            <w:r w:rsidRPr="00424E06">
              <w:t>Section 1 – Summary and Recommendations</w:t>
            </w:r>
          </w:p>
        </w:tc>
      </w:tr>
      <w:tr w:rsidR="00333FAA" w:rsidRPr="00424E06" w14:paraId="5D78E563" w14:textId="77777777" w:rsidTr="000A43CE">
        <w:trPr>
          <w:tblHeader/>
        </w:trPr>
        <w:tc>
          <w:tcPr>
            <w:tcW w:w="8309" w:type="dxa"/>
          </w:tcPr>
          <w:p w14:paraId="0951465A" w14:textId="4A24342A" w:rsidR="004212E2" w:rsidRDefault="00B069B9" w:rsidP="00223F6C">
            <w:pPr>
              <w:rPr>
                <w:color w:val="000000" w:themeColor="text1"/>
              </w:rPr>
            </w:pPr>
            <w:r w:rsidRPr="00424E06">
              <w:rPr>
                <w:color w:val="000000" w:themeColor="text1"/>
              </w:rPr>
              <w:t xml:space="preserve">This report </w:t>
            </w:r>
            <w:r w:rsidR="00CA5E23">
              <w:rPr>
                <w:color w:val="000000" w:themeColor="text1"/>
              </w:rPr>
              <w:t xml:space="preserve">seeks to introduce the Local Plan process and key issues that </w:t>
            </w:r>
            <w:r w:rsidR="0071322F">
              <w:rPr>
                <w:color w:val="000000" w:themeColor="text1"/>
              </w:rPr>
              <w:t xml:space="preserve">will need to be addressed as part of the new Harrow Local Plan </w:t>
            </w:r>
            <w:r w:rsidR="00003709">
              <w:rPr>
                <w:color w:val="000000" w:themeColor="text1"/>
              </w:rPr>
              <w:t>and invite comment and discussion from the Panel to assist in the scoping of the Local Plan</w:t>
            </w:r>
            <w:r w:rsidR="00B7495E">
              <w:rPr>
                <w:color w:val="000000" w:themeColor="text1"/>
              </w:rPr>
              <w:t>, including its broad vision and objectives.</w:t>
            </w:r>
          </w:p>
          <w:p w14:paraId="138FE5B4" w14:textId="77777777" w:rsidR="009166B9" w:rsidRDefault="009166B9" w:rsidP="00223F6C">
            <w:pPr>
              <w:rPr>
                <w:color w:val="000000" w:themeColor="text1"/>
              </w:rPr>
            </w:pPr>
          </w:p>
          <w:p w14:paraId="4FB5591D" w14:textId="17A6A810" w:rsidR="009166B9" w:rsidRPr="00424E06" w:rsidRDefault="009166B9" w:rsidP="00223F6C">
            <w:pPr>
              <w:rPr>
                <w:color w:val="000000" w:themeColor="text1"/>
              </w:rPr>
            </w:pPr>
            <w:r>
              <w:rPr>
                <w:color w:val="000000" w:themeColor="text1"/>
              </w:rPr>
              <w:t xml:space="preserve">The report will be accompanied by a </w:t>
            </w:r>
            <w:r w:rsidR="00FA1A8A">
              <w:rPr>
                <w:color w:val="000000" w:themeColor="text1"/>
              </w:rPr>
              <w:t>presentation.</w:t>
            </w:r>
          </w:p>
          <w:p w14:paraId="02274D72" w14:textId="30D8D432" w:rsidR="001C7E35" w:rsidRPr="00424E06" w:rsidRDefault="00605A4C" w:rsidP="00E13BEF">
            <w:pPr>
              <w:pStyle w:val="Heading3"/>
              <w:spacing w:before="240"/>
              <w:rPr>
                <w:color w:val="000000" w:themeColor="text1"/>
              </w:rPr>
            </w:pPr>
            <w:r w:rsidRPr="00424E06">
              <w:rPr>
                <w:color w:val="000000" w:themeColor="text1"/>
              </w:rPr>
              <w:t>Recommen</w:t>
            </w:r>
            <w:r w:rsidR="001C7E35" w:rsidRPr="00424E06">
              <w:rPr>
                <w:color w:val="000000" w:themeColor="text1"/>
              </w:rPr>
              <w:t xml:space="preserve">dations: </w:t>
            </w:r>
          </w:p>
          <w:p w14:paraId="130A1D51" w14:textId="56F779E4" w:rsidR="00591016" w:rsidRPr="00424E06" w:rsidRDefault="00241100" w:rsidP="00605A4C">
            <w:pPr>
              <w:rPr>
                <w:color w:val="000000" w:themeColor="text1"/>
              </w:rPr>
            </w:pPr>
            <w:r w:rsidRPr="00424E06">
              <w:rPr>
                <w:color w:val="000000" w:themeColor="text1"/>
              </w:rPr>
              <w:t xml:space="preserve">The Planning Policy Advisory Panel </w:t>
            </w:r>
            <w:r w:rsidR="001C7E35" w:rsidRPr="00424E06">
              <w:rPr>
                <w:color w:val="000000" w:themeColor="text1"/>
              </w:rPr>
              <w:t>is requested to</w:t>
            </w:r>
            <w:r w:rsidRPr="00424E06">
              <w:rPr>
                <w:color w:val="000000" w:themeColor="text1"/>
              </w:rPr>
              <w:t xml:space="preserve"> </w:t>
            </w:r>
            <w:r w:rsidR="002047E8" w:rsidRPr="00424E06">
              <w:rPr>
                <w:color w:val="000000" w:themeColor="text1"/>
              </w:rPr>
              <w:t xml:space="preserve">note and comment on </w:t>
            </w:r>
            <w:r w:rsidR="00A209D4" w:rsidRPr="00424E06">
              <w:rPr>
                <w:color w:val="000000" w:themeColor="text1"/>
              </w:rPr>
              <w:t xml:space="preserve">the </w:t>
            </w:r>
            <w:r w:rsidR="009166B9">
              <w:rPr>
                <w:color w:val="000000" w:themeColor="text1"/>
              </w:rPr>
              <w:t xml:space="preserve">report </w:t>
            </w:r>
            <w:r w:rsidR="00FA1A8A">
              <w:rPr>
                <w:color w:val="000000" w:themeColor="text1"/>
              </w:rPr>
              <w:t>and accompanying presentation.</w:t>
            </w:r>
            <w:r w:rsidR="006C6E4C" w:rsidRPr="00424E06">
              <w:rPr>
                <w:color w:val="000000" w:themeColor="text1"/>
              </w:rPr>
              <w:t xml:space="preserve"> </w:t>
            </w:r>
            <w:r w:rsidR="001D005B" w:rsidRPr="00424E06">
              <w:br/>
            </w:r>
          </w:p>
          <w:p w14:paraId="421F6611" w14:textId="77777777" w:rsidR="008D195A" w:rsidRDefault="00E13BEF" w:rsidP="00E13BEF">
            <w:pPr>
              <w:pStyle w:val="Heading3"/>
              <w:ind w:left="0" w:firstLine="0"/>
              <w:jc w:val="left"/>
              <w:rPr>
                <w:b w:val="0"/>
                <w:bCs w:val="0"/>
                <w:color w:val="000000" w:themeColor="text1"/>
              </w:rPr>
            </w:pPr>
            <w:r w:rsidRPr="00424E06">
              <w:rPr>
                <w:color w:val="000000" w:themeColor="text1"/>
              </w:rPr>
              <w:t>Reason:</w:t>
            </w:r>
          </w:p>
          <w:p w14:paraId="061365F9" w14:textId="16E7C8E4" w:rsidR="001C7E35" w:rsidRPr="00424E06" w:rsidRDefault="00A54BE8" w:rsidP="008D195A">
            <w:pPr>
              <w:rPr>
                <w:color w:val="000000" w:themeColor="text1"/>
                <w:szCs w:val="24"/>
              </w:rPr>
            </w:pPr>
            <w:r>
              <w:rPr>
                <w:color w:val="000000" w:themeColor="text1"/>
                <w:szCs w:val="24"/>
              </w:rPr>
              <w:t xml:space="preserve">Stakeholder input into the development of the New Local Plan </w:t>
            </w:r>
            <w:r w:rsidR="00950519">
              <w:rPr>
                <w:color w:val="000000" w:themeColor="text1"/>
                <w:szCs w:val="24"/>
              </w:rPr>
              <w:t>is</w:t>
            </w:r>
            <w:r>
              <w:rPr>
                <w:color w:val="000000" w:themeColor="text1"/>
                <w:szCs w:val="24"/>
              </w:rPr>
              <w:t xml:space="preserve"> essential </w:t>
            </w:r>
            <w:r w:rsidR="00950519">
              <w:rPr>
                <w:color w:val="000000" w:themeColor="text1"/>
                <w:szCs w:val="24"/>
              </w:rPr>
              <w:t xml:space="preserve">in </w:t>
            </w:r>
            <w:r>
              <w:rPr>
                <w:color w:val="000000" w:themeColor="text1"/>
                <w:szCs w:val="24"/>
              </w:rPr>
              <w:t>ensur</w:t>
            </w:r>
            <w:r w:rsidR="00950519">
              <w:rPr>
                <w:color w:val="000000" w:themeColor="text1"/>
                <w:szCs w:val="24"/>
              </w:rPr>
              <w:t>ing</w:t>
            </w:r>
            <w:r>
              <w:rPr>
                <w:color w:val="000000" w:themeColor="text1"/>
                <w:szCs w:val="24"/>
              </w:rPr>
              <w:t xml:space="preserve"> that the Plan reflects the aspirations and priorities of the Council and the community; the Panel is a key stakeholder</w:t>
            </w:r>
            <w:r w:rsidR="00FF2095">
              <w:rPr>
                <w:color w:val="000000" w:themeColor="text1"/>
                <w:szCs w:val="24"/>
              </w:rPr>
              <w:t xml:space="preserve"> in the </w:t>
            </w:r>
            <w:r w:rsidR="00950519">
              <w:rPr>
                <w:color w:val="000000" w:themeColor="text1"/>
                <w:szCs w:val="24"/>
              </w:rPr>
              <w:t xml:space="preserve">Local Plan </w:t>
            </w:r>
            <w:r w:rsidR="00FF2095">
              <w:rPr>
                <w:color w:val="000000" w:themeColor="text1"/>
                <w:szCs w:val="24"/>
              </w:rPr>
              <w:t>process</w:t>
            </w:r>
            <w:r>
              <w:rPr>
                <w:color w:val="000000" w:themeColor="text1"/>
                <w:szCs w:val="24"/>
              </w:rPr>
              <w:t>.</w:t>
            </w:r>
            <w:r w:rsidR="00FF2095">
              <w:rPr>
                <w:color w:val="000000" w:themeColor="text1"/>
                <w:szCs w:val="24"/>
              </w:rPr>
              <w:t xml:space="preserve"> </w:t>
            </w:r>
            <w:r w:rsidR="00867F1A">
              <w:rPr>
                <w:color w:val="000000" w:themeColor="text1"/>
                <w:szCs w:val="24"/>
              </w:rPr>
              <w:t>The broad vision</w:t>
            </w:r>
            <w:r w:rsidR="00FC5F0B">
              <w:rPr>
                <w:color w:val="000000" w:themeColor="text1"/>
                <w:szCs w:val="24"/>
              </w:rPr>
              <w:t xml:space="preserve"> and s</w:t>
            </w:r>
            <w:r w:rsidR="00FF2095">
              <w:rPr>
                <w:color w:val="000000" w:themeColor="text1"/>
                <w:szCs w:val="24"/>
              </w:rPr>
              <w:t>trategic objectives set the framework for the development of the plan an</w:t>
            </w:r>
            <w:r w:rsidR="00F46C6E">
              <w:rPr>
                <w:color w:val="000000" w:themeColor="text1"/>
                <w:szCs w:val="24"/>
              </w:rPr>
              <w:t xml:space="preserve">d therefore the Panel’s input into this process (facilitated by </w:t>
            </w:r>
            <w:r w:rsidR="00867F1A">
              <w:rPr>
                <w:color w:val="000000" w:themeColor="text1"/>
                <w:szCs w:val="24"/>
              </w:rPr>
              <w:t>this</w:t>
            </w:r>
            <w:r w:rsidR="00F46C6E">
              <w:rPr>
                <w:color w:val="000000" w:themeColor="text1"/>
                <w:szCs w:val="24"/>
              </w:rPr>
              <w:t xml:space="preserve"> report and discussion) is </w:t>
            </w:r>
            <w:r w:rsidR="00867F1A">
              <w:rPr>
                <w:color w:val="000000" w:themeColor="text1"/>
                <w:szCs w:val="24"/>
              </w:rPr>
              <w:t>sought.</w:t>
            </w:r>
          </w:p>
          <w:p w14:paraId="313BC81E" w14:textId="77777777" w:rsidR="00333FAA" w:rsidRPr="00424E06" w:rsidRDefault="00333FAA" w:rsidP="00605A4C">
            <w:pPr>
              <w:rPr>
                <w:color w:val="000000" w:themeColor="text1"/>
              </w:rPr>
            </w:pPr>
          </w:p>
        </w:tc>
      </w:tr>
    </w:tbl>
    <w:p w14:paraId="12FFB02E" w14:textId="5DF11492" w:rsidR="001C7E35" w:rsidRPr="00424E06" w:rsidRDefault="00333FAA" w:rsidP="00BB255D">
      <w:pPr>
        <w:pStyle w:val="Heading2"/>
        <w:keepNext/>
        <w:spacing w:before="480"/>
      </w:pPr>
      <w:r w:rsidRPr="00424E06">
        <w:lastRenderedPageBreak/>
        <w:t>Section 2 – Report</w:t>
      </w:r>
    </w:p>
    <w:p w14:paraId="76168D48" w14:textId="4F89A4DF" w:rsidR="001C7E35" w:rsidRPr="00424E06" w:rsidRDefault="00F057AF" w:rsidP="00BB255D">
      <w:pPr>
        <w:pStyle w:val="Heading3"/>
        <w:keepNext/>
        <w:spacing w:before="240"/>
        <w:ind w:left="851" w:hanging="851"/>
      </w:pPr>
      <w:r w:rsidRPr="00424E06">
        <w:t>1.0</w:t>
      </w:r>
      <w:r w:rsidRPr="00424E06">
        <w:tab/>
      </w:r>
      <w:r w:rsidR="001C7E35" w:rsidRPr="00424E06">
        <w:t>Introduct</w:t>
      </w:r>
      <w:r w:rsidR="00D5690A" w:rsidRPr="00424E06">
        <w:t xml:space="preserve">ion </w:t>
      </w:r>
    </w:p>
    <w:p w14:paraId="23756A1A" w14:textId="394EB2A1" w:rsidR="00B821C1" w:rsidRPr="00424E06" w:rsidRDefault="00B821C1" w:rsidP="00BB255D">
      <w:pPr>
        <w:keepNext/>
      </w:pPr>
    </w:p>
    <w:p w14:paraId="5100EA60" w14:textId="7384AB84" w:rsidR="00303F2D" w:rsidRDefault="00F057AF" w:rsidP="00F057AF">
      <w:pPr>
        <w:ind w:left="851" w:hanging="851"/>
      </w:pPr>
      <w:r w:rsidRPr="00424E06">
        <w:t>1.1</w:t>
      </w:r>
      <w:r w:rsidRPr="00424E06">
        <w:tab/>
      </w:r>
      <w:r w:rsidR="00314E7D">
        <w:t xml:space="preserve">The Council has committed to preparing a new Harrow Local Plan. This is in response to the time that has elapsed </w:t>
      </w:r>
      <w:r w:rsidR="007774DC">
        <w:t xml:space="preserve">since the current Local Plan was adopted (2012 and 2013) and changes in national and regional </w:t>
      </w:r>
      <w:r w:rsidR="00303F2D">
        <w:t xml:space="preserve">planning policy since that time, </w:t>
      </w:r>
      <w:r w:rsidR="006F4C76">
        <w:t>as well as</w:t>
      </w:r>
      <w:r w:rsidR="00303F2D">
        <w:t xml:space="preserve"> emerging issues and </w:t>
      </w:r>
      <w:r w:rsidR="005951F3">
        <w:t xml:space="preserve">local </w:t>
      </w:r>
      <w:r w:rsidR="00303F2D">
        <w:t>p</w:t>
      </w:r>
      <w:r w:rsidR="005951F3">
        <w:t>r</w:t>
      </w:r>
      <w:r w:rsidR="00303F2D">
        <w:t>iorities.</w:t>
      </w:r>
    </w:p>
    <w:p w14:paraId="5AA2B8CC" w14:textId="77777777" w:rsidR="00303F2D" w:rsidRDefault="00303F2D" w:rsidP="00F057AF">
      <w:pPr>
        <w:ind w:left="851" w:hanging="851"/>
      </w:pPr>
    </w:p>
    <w:p w14:paraId="4FA07394" w14:textId="7BBAE3B8" w:rsidR="00535274" w:rsidRDefault="00303F2D" w:rsidP="00F057AF">
      <w:pPr>
        <w:ind w:left="851" w:hanging="851"/>
      </w:pPr>
      <w:r>
        <w:t>1.2</w:t>
      </w:r>
      <w:r>
        <w:tab/>
      </w:r>
      <w:r w:rsidR="000E0B83">
        <w:t xml:space="preserve">At its last meeting on 9 January 2023, the Panel considered a report in </w:t>
      </w:r>
      <w:r w:rsidR="00B86CC9">
        <w:t xml:space="preserve">relation to the Council’s Local Development </w:t>
      </w:r>
      <w:r w:rsidR="009B26A3">
        <w:t xml:space="preserve">Scheme (LDS). </w:t>
      </w:r>
      <w:r w:rsidR="00D77EBC">
        <w:t xml:space="preserve">The </w:t>
      </w:r>
      <w:r w:rsidR="00F2066E" w:rsidRPr="00424E06">
        <w:t>LDS</w:t>
      </w:r>
      <w:r w:rsidR="00D77EBC">
        <w:t xml:space="preserve"> is</w:t>
      </w:r>
      <w:r w:rsidR="004F4F48" w:rsidRPr="00424E06">
        <w:t xml:space="preserve"> a rolling three-year project plan setting out all the planning documents to be produced by the </w:t>
      </w:r>
      <w:r w:rsidR="00F2066E" w:rsidRPr="00424E06">
        <w:t xml:space="preserve">local </w:t>
      </w:r>
      <w:r w:rsidR="004F4F48" w:rsidRPr="00424E06">
        <w:t xml:space="preserve">authority and the timetable for their preparation. </w:t>
      </w:r>
      <w:r w:rsidR="0004219B">
        <w:t>The draft LDS considered by the Panel committed the Council to prepare a new Local Plan, with adoption scheduled for</w:t>
      </w:r>
      <w:r w:rsidR="00535274">
        <w:t xml:space="preserve"> December 2025. </w:t>
      </w:r>
      <w:r w:rsidR="00535274" w:rsidRPr="00E80729">
        <w:t xml:space="preserve">The LDS was subsequently </w:t>
      </w:r>
      <w:r w:rsidR="00EB5383">
        <w:t>agreed</w:t>
      </w:r>
      <w:r w:rsidR="00535274" w:rsidRPr="00E80729">
        <w:t xml:space="preserve"> by Cabinet </w:t>
      </w:r>
      <w:r w:rsidR="00E80729" w:rsidRPr="00E80729">
        <w:t>on 16</w:t>
      </w:r>
      <w:r w:rsidR="00EB5383">
        <w:t> </w:t>
      </w:r>
      <w:r w:rsidR="00535274" w:rsidRPr="00E80729">
        <w:t>February 2023.</w:t>
      </w:r>
    </w:p>
    <w:p w14:paraId="571BC001" w14:textId="77777777" w:rsidR="00E80729" w:rsidRDefault="00E80729" w:rsidP="00F057AF">
      <w:pPr>
        <w:ind w:left="851" w:hanging="851"/>
      </w:pPr>
    </w:p>
    <w:p w14:paraId="013FDB12" w14:textId="10BB289A" w:rsidR="00E80729" w:rsidRDefault="000D4781" w:rsidP="00F057AF">
      <w:pPr>
        <w:ind w:left="851" w:hanging="851"/>
      </w:pPr>
      <w:r>
        <w:t>1.3</w:t>
      </w:r>
      <w:r>
        <w:tab/>
        <w:t xml:space="preserve">In the context of the above, </w:t>
      </w:r>
      <w:r>
        <w:rPr>
          <w:color w:val="000000" w:themeColor="text1"/>
        </w:rPr>
        <w:t>this</w:t>
      </w:r>
      <w:r w:rsidRPr="00424E06">
        <w:rPr>
          <w:color w:val="000000" w:themeColor="text1"/>
        </w:rPr>
        <w:t xml:space="preserve"> report </w:t>
      </w:r>
      <w:r>
        <w:rPr>
          <w:color w:val="000000" w:themeColor="text1"/>
        </w:rPr>
        <w:t xml:space="preserve">and accompanying presentation seek to introduce the Local Plan process </w:t>
      </w:r>
      <w:r w:rsidR="00754C91">
        <w:rPr>
          <w:color w:val="000000" w:themeColor="text1"/>
        </w:rPr>
        <w:t xml:space="preserve">in more detail </w:t>
      </w:r>
      <w:r>
        <w:rPr>
          <w:color w:val="000000" w:themeColor="text1"/>
        </w:rPr>
        <w:t xml:space="preserve">and key issues that it will need to </w:t>
      </w:r>
      <w:r w:rsidR="00025B52">
        <w:rPr>
          <w:color w:val="000000" w:themeColor="text1"/>
        </w:rPr>
        <w:t xml:space="preserve">be </w:t>
      </w:r>
      <w:r>
        <w:rPr>
          <w:color w:val="000000" w:themeColor="text1"/>
        </w:rPr>
        <w:t>address</w:t>
      </w:r>
      <w:r w:rsidR="00025B52">
        <w:rPr>
          <w:color w:val="000000" w:themeColor="text1"/>
        </w:rPr>
        <w:t>ed</w:t>
      </w:r>
      <w:r w:rsidR="00745274">
        <w:rPr>
          <w:color w:val="000000" w:themeColor="text1"/>
        </w:rPr>
        <w:t xml:space="preserve">. It </w:t>
      </w:r>
      <w:r>
        <w:rPr>
          <w:color w:val="000000" w:themeColor="text1"/>
        </w:rPr>
        <w:t>invite</w:t>
      </w:r>
      <w:r w:rsidR="00745274">
        <w:rPr>
          <w:color w:val="000000" w:themeColor="text1"/>
        </w:rPr>
        <w:t>s</w:t>
      </w:r>
      <w:r>
        <w:rPr>
          <w:color w:val="000000" w:themeColor="text1"/>
        </w:rPr>
        <w:t xml:space="preserve"> comment and discussion from the Panel to assist in the scoping of the Local Plan, including its broad vision and objectives</w:t>
      </w:r>
      <w:r w:rsidR="00754C91">
        <w:rPr>
          <w:color w:val="000000" w:themeColor="text1"/>
        </w:rPr>
        <w:t xml:space="preserve">. </w:t>
      </w:r>
      <w:r w:rsidR="00C02C2E">
        <w:rPr>
          <w:color w:val="000000" w:themeColor="text1"/>
        </w:rPr>
        <w:t xml:space="preserve">The discussion will also inform drafting of the new Local Plan, which will be presented to the Panel over a number of meetings </w:t>
      </w:r>
      <w:r w:rsidR="008C13F6">
        <w:rPr>
          <w:color w:val="000000" w:themeColor="text1"/>
        </w:rPr>
        <w:t xml:space="preserve">in 2023 in the lead-up to agreement by Cabinet to undertake the initial </w:t>
      </w:r>
      <w:r w:rsidR="008C64A2">
        <w:rPr>
          <w:color w:val="000000" w:themeColor="text1"/>
        </w:rPr>
        <w:t>consultation</w:t>
      </w:r>
      <w:r w:rsidR="008C13F6">
        <w:rPr>
          <w:color w:val="000000" w:themeColor="text1"/>
        </w:rPr>
        <w:t xml:space="preserve"> </w:t>
      </w:r>
      <w:r w:rsidR="008C64A2">
        <w:rPr>
          <w:color w:val="000000" w:themeColor="text1"/>
        </w:rPr>
        <w:t xml:space="preserve">(‘Regulation 18 consultation’) </w:t>
      </w:r>
      <w:r w:rsidR="008C13F6">
        <w:rPr>
          <w:color w:val="000000" w:themeColor="text1"/>
        </w:rPr>
        <w:t>on the draft Lo</w:t>
      </w:r>
      <w:r w:rsidR="008C64A2">
        <w:rPr>
          <w:color w:val="000000" w:themeColor="text1"/>
        </w:rPr>
        <w:t>cal Plan at the end of 2023.</w:t>
      </w:r>
    </w:p>
    <w:p w14:paraId="1B27AD79" w14:textId="74DDAD36" w:rsidR="00776C62" w:rsidRPr="00424E06" w:rsidRDefault="00776C62" w:rsidP="00F057AF">
      <w:pPr>
        <w:ind w:left="851" w:hanging="851"/>
      </w:pPr>
    </w:p>
    <w:p w14:paraId="0A078380" w14:textId="0E940996" w:rsidR="00AD1E77" w:rsidRPr="00424E06" w:rsidRDefault="00F057AF" w:rsidP="00BB255D">
      <w:pPr>
        <w:pStyle w:val="Heading3"/>
        <w:keepNext/>
        <w:spacing w:before="240"/>
        <w:ind w:left="851" w:hanging="851"/>
      </w:pPr>
      <w:r w:rsidRPr="00424E06">
        <w:t>2.0</w:t>
      </w:r>
      <w:r w:rsidRPr="00424E06">
        <w:tab/>
      </w:r>
      <w:r w:rsidR="001C7E35" w:rsidRPr="00424E06">
        <w:t>Options considered</w:t>
      </w:r>
    </w:p>
    <w:p w14:paraId="1176F423" w14:textId="77777777" w:rsidR="00F057AF" w:rsidRPr="00424E06" w:rsidRDefault="00F057AF" w:rsidP="00BB255D">
      <w:pPr>
        <w:keepNext/>
      </w:pPr>
    </w:p>
    <w:p w14:paraId="201DDF05" w14:textId="6B80E221" w:rsidR="00097343" w:rsidRPr="00424E06" w:rsidRDefault="00F057AF" w:rsidP="004E0232">
      <w:pPr>
        <w:ind w:left="851" w:hanging="851"/>
      </w:pPr>
      <w:r w:rsidRPr="00424E06">
        <w:t>2.1</w:t>
      </w:r>
      <w:r w:rsidRPr="00424E06">
        <w:tab/>
      </w:r>
      <w:r w:rsidR="004E0232">
        <w:t xml:space="preserve">The National Planning Policy Framework emphases the role of Local Plans in the planning system: </w:t>
      </w:r>
      <w:r w:rsidR="009F2340">
        <w:t>‘</w:t>
      </w:r>
      <w:r w:rsidR="004E0232">
        <w:t xml:space="preserve">The planning system should be </w:t>
      </w:r>
      <w:r w:rsidR="009F2340">
        <w:t>g</w:t>
      </w:r>
      <w:r w:rsidR="004E0232">
        <w:t>enuinely plan-led. Succinct and up-to-date plans should provide a positive vision for the future of each area; a framework for addressing housing needs and other economic, social and environmental</w:t>
      </w:r>
      <w:r w:rsidR="009F2340">
        <w:t xml:space="preserve"> </w:t>
      </w:r>
      <w:r w:rsidR="004E0232">
        <w:t>priorities; and a platform for local people to shape their surroundings</w:t>
      </w:r>
      <w:r w:rsidR="009F2340">
        <w:t>’ (paragraph 13)</w:t>
      </w:r>
      <w:r w:rsidR="00D66B7B" w:rsidRPr="00424E06">
        <w:t xml:space="preserve">. </w:t>
      </w:r>
    </w:p>
    <w:p w14:paraId="577772D6" w14:textId="77777777" w:rsidR="001C1DA2" w:rsidRPr="00424E06" w:rsidRDefault="001C1DA2" w:rsidP="00F057AF">
      <w:pPr>
        <w:ind w:left="851" w:hanging="851"/>
      </w:pPr>
    </w:p>
    <w:p w14:paraId="0AC92D14" w14:textId="7C5246B9" w:rsidR="00097343" w:rsidRPr="00424E06" w:rsidRDefault="00F057AF" w:rsidP="00F057AF">
      <w:pPr>
        <w:ind w:left="851" w:hanging="851"/>
      </w:pPr>
      <w:r w:rsidRPr="00424E06">
        <w:t>2.2</w:t>
      </w:r>
      <w:r w:rsidRPr="00424E06">
        <w:tab/>
      </w:r>
      <w:r w:rsidR="009F2340">
        <w:t xml:space="preserve">Input from </w:t>
      </w:r>
      <w:r w:rsidR="00FC5775">
        <w:t>elected members is central in shaping the</w:t>
      </w:r>
      <w:r w:rsidR="00E816A8">
        <w:t xml:space="preserve"> vision of the borough </w:t>
      </w:r>
      <w:r w:rsidR="00464E6B">
        <w:t>through the Local Plan process and</w:t>
      </w:r>
      <w:r w:rsidR="004E58BC">
        <w:t xml:space="preserve"> early input</w:t>
      </w:r>
      <w:r w:rsidR="00407A98">
        <w:t xml:space="preserve"> (such as this report, presentation and discussion)</w:t>
      </w:r>
      <w:r w:rsidR="004E58BC">
        <w:t xml:space="preserve"> seeks to ensure any draft plan reflects this vision</w:t>
      </w:r>
      <w:r w:rsidR="00700634" w:rsidRPr="00424E06">
        <w:t>.</w:t>
      </w:r>
      <w:r w:rsidR="00407A98">
        <w:t xml:space="preserve"> </w:t>
      </w:r>
      <w:r w:rsidR="00B864B6">
        <w:t xml:space="preserve">The alternative option of not doing this is not considered appropriate as it may result in a draft plan that doesn’t </w:t>
      </w:r>
      <w:r w:rsidR="00BB4F7A">
        <w:t>respond to members’ vision and input and necessitate further work and delays to the process. That option has therefore been discounted.</w:t>
      </w:r>
      <w:r w:rsidR="00700634" w:rsidRPr="00424E06">
        <w:t xml:space="preserve"> </w:t>
      </w:r>
    </w:p>
    <w:p w14:paraId="13C11355" w14:textId="77777777" w:rsidR="001C1DA2" w:rsidRPr="00424E06" w:rsidRDefault="001C1DA2" w:rsidP="00F057AF">
      <w:pPr>
        <w:ind w:left="851" w:hanging="851"/>
      </w:pPr>
    </w:p>
    <w:p w14:paraId="4E6F3ADD" w14:textId="1C32221B" w:rsidR="00D430EA" w:rsidRPr="00424E06" w:rsidRDefault="00D430EA" w:rsidP="00097343"/>
    <w:p w14:paraId="1B9EF500" w14:textId="409FD30B" w:rsidR="00886085" w:rsidRPr="00424E06" w:rsidRDefault="00F057AF" w:rsidP="00BB255D">
      <w:pPr>
        <w:pStyle w:val="Heading3"/>
        <w:keepNext/>
        <w:spacing w:before="240"/>
        <w:ind w:left="851" w:hanging="851"/>
        <w:jc w:val="left"/>
      </w:pPr>
      <w:r w:rsidRPr="00424E06">
        <w:lastRenderedPageBreak/>
        <w:t>3.0</w:t>
      </w:r>
      <w:r w:rsidRPr="00424E06">
        <w:tab/>
      </w:r>
      <w:r w:rsidR="00886085" w:rsidRPr="00424E06">
        <w:t xml:space="preserve">Background </w:t>
      </w:r>
      <w:r w:rsidR="00E80012">
        <w:t>– the Tiers of Planning</w:t>
      </w:r>
    </w:p>
    <w:p w14:paraId="23DBBB17" w14:textId="77777777" w:rsidR="00F057AF" w:rsidRDefault="00F057AF" w:rsidP="00BB255D">
      <w:pPr>
        <w:keepNext/>
        <w:rPr>
          <w:i/>
          <w:iCs/>
        </w:rPr>
      </w:pPr>
    </w:p>
    <w:p w14:paraId="4DDCCE1C" w14:textId="696E5CE1" w:rsidR="00E07612" w:rsidRDefault="00775AE4" w:rsidP="00E07612">
      <w:pPr>
        <w:keepNext/>
        <w:ind w:left="851"/>
        <w:rPr>
          <w:i/>
          <w:iCs/>
        </w:rPr>
      </w:pPr>
      <w:r>
        <w:rPr>
          <w:i/>
          <w:iCs/>
        </w:rPr>
        <w:t xml:space="preserve">National Planning </w:t>
      </w:r>
      <w:r w:rsidR="00A314A6">
        <w:rPr>
          <w:i/>
          <w:iCs/>
        </w:rPr>
        <w:t>Policy Framework</w:t>
      </w:r>
    </w:p>
    <w:p w14:paraId="53461E8F" w14:textId="77777777" w:rsidR="00E07612" w:rsidRDefault="00E07612" w:rsidP="00BB255D">
      <w:pPr>
        <w:keepNext/>
        <w:rPr>
          <w:i/>
          <w:iCs/>
        </w:rPr>
      </w:pPr>
    </w:p>
    <w:p w14:paraId="298097E4" w14:textId="1FC33F16" w:rsidR="00E05254" w:rsidRPr="00E05254" w:rsidRDefault="00535274" w:rsidP="00E05254">
      <w:pPr>
        <w:ind w:left="851" w:hanging="851"/>
      </w:pPr>
      <w:r>
        <w:t>3.1</w:t>
      </w:r>
      <w:r>
        <w:tab/>
      </w:r>
      <w:r w:rsidR="00AF013D">
        <w:t xml:space="preserve">The </w:t>
      </w:r>
      <w:r w:rsidR="00AF013D" w:rsidRPr="00E05254">
        <w:t>National Planning Policy Framework (NPPF)</w:t>
      </w:r>
      <w:r w:rsidR="00AF013D">
        <w:t xml:space="preserve"> </w:t>
      </w:r>
      <w:r w:rsidR="00E05254" w:rsidRPr="00E05254">
        <w:t>sets out government's planning policies for England and how these are expected to be applied</w:t>
      </w:r>
      <w:r w:rsidR="00E05254">
        <w:t xml:space="preserve">. It </w:t>
      </w:r>
      <w:r w:rsidR="00E05254" w:rsidRPr="00E05254">
        <w:t>covers both:</w:t>
      </w:r>
    </w:p>
    <w:p w14:paraId="08AA8C72" w14:textId="77777777" w:rsidR="004A5443" w:rsidRDefault="004A5443" w:rsidP="00D750A0">
      <w:pPr>
        <w:ind w:left="1418" w:hanging="567"/>
      </w:pPr>
    </w:p>
    <w:p w14:paraId="454FC631" w14:textId="11190A3D" w:rsidR="00E05254" w:rsidRPr="00E05254" w:rsidRDefault="00D750A0" w:rsidP="00D750A0">
      <w:pPr>
        <w:ind w:left="1418" w:hanging="567"/>
      </w:pPr>
      <w:r>
        <w:t>(a)</w:t>
      </w:r>
      <w:r>
        <w:tab/>
      </w:r>
      <w:r w:rsidR="00E05254" w:rsidRPr="00E05254">
        <w:t>‘plan making’ – what regional and local plans are expected to address / achieve, the evidence required to support policies and the process for their preparation</w:t>
      </w:r>
    </w:p>
    <w:p w14:paraId="1410AD01" w14:textId="3A3151B9" w:rsidR="00E05254" w:rsidRPr="00E05254" w:rsidRDefault="00D750A0" w:rsidP="004A5443">
      <w:pPr>
        <w:ind w:left="1418" w:hanging="567"/>
      </w:pPr>
      <w:r>
        <w:t>(b)</w:t>
      </w:r>
      <w:r>
        <w:tab/>
      </w:r>
      <w:r w:rsidR="00E05254" w:rsidRPr="00E05254">
        <w:t>‘decision taking’</w:t>
      </w:r>
      <w:r w:rsidR="004A5443">
        <w:t xml:space="preserve">, including the </w:t>
      </w:r>
      <w:r w:rsidR="00E05254" w:rsidRPr="00E05254">
        <w:t>weight accorded to policies in the development plan (and whether they are considered ‘out-of-date’)</w:t>
      </w:r>
      <w:r w:rsidR="004A5443">
        <w:t xml:space="preserve"> and </w:t>
      </w:r>
      <w:r w:rsidR="00E05254" w:rsidRPr="00E05254">
        <w:t xml:space="preserve">default ‘national’ policies, including key ones relating to Green Belt, historic environment and flooding. </w:t>
      </w:r>
    </w:p>
    <w:p w14:paraId="0E22376A" w14:textId="77777777" w:rsidR="004A5443" w:rsidRDefault="004A5443" w:rsidP="004A5443">
      <w:pPr>
        <w:ind w:left="1418" w:hanging="567"/>
      </w:pPr>
    </w:p>
    <w:p w14:paraId="47BCC08A" w14:textId="1827D5F2" w:rsidR="00E80012" w:rsidRDefault="00FB093C" w:rsidP="00A314A6">
      <w:pPr>
        <w:ind w:left="851" w:hanging="851"/>
      </w:pPr>
      <w:r>
        <w:t>3.2</w:t>
      </w:r>
      <w:r>
        <w:tab/>
        <w:t xml:space="preserve">The NPPF </w:t>
      </w:r>
      <w:r w:rsidR="00E80012" w:rsidRPr="00E80012">
        <w:t>should be used to decide applications where the local plan is absent, silent, indeterminate or where relevant policies are out of date</w:t>
      </w:r>
      <w:r w:rsidR="00E80012">
        <w:t>.</w:t>
      </w:r>
    </w:p>
    <w:p w14:paraId="5F0939DC" w14:textId="77777777" w:rsidR="00E80012" w:rsidRDefault="00E80012" w:rsidP="00A314A6">
      <w:pPr>
        <w:ind w:left="851" w:hanging="851"/>
      </w:pPr>
    </w:p>
    <w:p w14:paraId="4B119DD5" w14:textId="794EC1C7" w:rsidR="00A314A6" w:rsidRPr="003C1767" w:rsidRDefault="003C1767" w:rsidP="00937425">
      <w:pPr>
        <w:keepNext/>
        <w:ind w:left="851"/>
        <w:rPr>
          <w:i/>
          <w:iCs/>
        </w:rPr>
      </w:pPr>
      <w:r w:rsidRPr="003C1767">
        <w:rPr>
          <w:i/>
          <w:iCs/>
        </w:rPr>
        <w:t>Statutory Development Plan</w:t>
      </w:r>
      <w:r w:rsidR="00C35AC1">
        <w:rPr>
          <w:i/>
          <w:iCs/>
        </w:rPr>
        <w:t xml:space="preserve"> – London Plan and the Harrow Local Plan</w:t>
      </w:r>
    </w:p>
    <w:p w14:paraId="355C801E" w14:textId="77777777" w:rsidR="00A314A6" w:rsidRDefault="00A314A6" w:rsidP="00937425">
      <w:pPr>
        <w:keepNext/>
        <w:ind w:left="851" w:hanging="851"/>
      </w:pPr>
    </w:p>
    <w:p w14:paraId="75F15DCE" w14:textId="7A8BB7E4" w:rsidR="00E37732" w:rsidRDefault="008A385D" w:rsidP="00A314A6">
      <w:pPr>
        <w:ind w:left="851" w:hanging="851"/>
      </w:pPr>
      <w:r>
        <w:t>3.</w:t>
      </w:r>
      <w:r w:rsidR="00D86044">
        <w:t>3</w:t>
      </w:r>
      <w:r>
        <w:tab/>
        <w:t>The statutory development plan for Harrow comprises the</w:t>
      </w:r>
      <w:r w:rsidR="00E33CB5">
        <w:t xml:space="preserve"> </w:t>
      </w:r>
      <w:r w:rsidR="00E33CB5" w:rsidRPr="00E33CB5">
        <w:rPr>
          <w:b/>
          <w:bCs/>
        </w:rPr>
        <w:t>London Plan 2021</w:t>
      </w:r>
      <w:r w:rsidR="00E33CB5">
        <w:t xml:space="preserve"> and the </w:t>
      </w:r>
      <w:r w:rsidR="00E33CB5" w:rsidRPr="00E33CB5">
        <w:rPr>
          <w:b/>
          <w:bCs/>
        </w:rPr>
        <w:t>Harrow Local Plan</w:t>
      </w:r>
      <w:r w:rsidR="00E33CB5">
        <w:t xml:space="preserve">. </w:t>
      </w:r>
      <w:r w:rsidR="00E37732" w:rsidRPr="00E37732">
        <w:t>Planning applications must be determined in accordance with the development plan unless material considerations indicate otherwise.</w:t>
      </w:r>
    </w:p>
    <w:p w14:paraId="2A970CBA" w14:textId="77777777" w:rsidR="00E37732" w:rsidRDefault="00E37732" w:rsidP="00A314A6">
      <w:pPr>
        <w:ind w:left="851" w:hanging="851"/>
      </w:pPr>
    </w:p>
    <w:p w14:paraId="7D7C3B09" w14:textId="6BB893CB" w:rsidR="004F6E5A" w:rsidRPr="00D86044" w:rsidRDefault="004F6E5A" w:rsidP="006577AC">
      <w:pPr>
        <w:keepNext/>
        <w:ind w:left="851"/>
        <w:rPr>
          <w:i/>
          <w:iCs/>
        </w:rPr>
      </w:pPr>
      <w:r w:rsidRPr="00D86044">
        <w:rPr>
          <w:i/>
          <w:iCs/>
        </w:rPr>
        <w:t>London Plan</w:t>
      </w:r>
      <w:r w:rsidR="00D86044" w:rsidRPr="00D86044">
        <w:rPr>
          <w:i/>
          <w:iCs/>
        </w:rPr>
        <w:t xml:space="preserve"> 2021</w:t>
      </w:r>
    </w:p>
    <w:p w14:paraId="53120239" w14:textId="77777777" w:rsidR="004F6E5A" w:rsidRDefault="004F6E5A" w:rsidP="006577AC">
      <w:pPr>
        <w:keepNext/>
        <w:ind w:left="851" w:hanging="851"/>
      </w:pPr>
    </w:p>
    <w:p w14:paraId="0BA56163" w14:textId="2629501D" w:rsidR="00B25AA4" w:rsidRPr="00B25AA4" w:rsidRDefault="00B25AA4" w:rsidP="00B25AA4">
      <w:pPr>
        <w:ind w:left="851" w:hanging="851"/>
      </w:pPr>
      <w:r>
        <w:t>3.</w:t>
      </w:r>
      <w:r w:rsidR="00D86044">
        <w:t>4</w:t>
      </w:r>
      <w:r>
        <w:tab/>
      </w:r>
      <w:r w:rsidRPr="00B25AA4">
        <w:t>The London Plan (2021) was published on 2 March 2021, becoming London’s Spatial Development Strategy and part of Harrow’s Development Plan, replacing the version adopted in 2016.</w:t>
      </w:r>
      <w:r w:rsidR="00044F54">
        <w:t xml:space="preserve"> Where applicable, policies within the London Plan must be </w:t>
      </w:r>
      <w:r w:rsidR="00E62106">
        <w:t>considered in determining planning applications (as it is part of the borough’s development plan).</w:t>
      </w:r>
    </w:p>
    <w:p w14:paraId="0484D58B" w14:textId="77777777" w:rsidR="00D86044" w:rsidRDefault="00D86044" w:rsidP="00B25AA4">
      <w:pPr>
        <w:ind w:left="851" w:hanging="851"/>
      </w:pPr>
    </w:p>
    <w:p w14:paraId="3E5FD27D" w14:textId="6B7BD6E0" w:rsidR="00E62106" w:rsidRDefault="00E62106" w:rsidP="00B25AA4">
      <w:pPr>
        <w:ind w:left="851" w:hanging="851"/>
      </w:pPr>
      <w:r>
        <w:t>3.5</w:t>
      </w:r>
      <w:r>
        <w:tab/>
        <w:t xml:space="preserve">The London Plan </w:t>
      </w:r>
      <w:r w:rsidR="00FE1DB1">
        <w:t>is also relevant to the preparation of the new Harrow Local Plan as the Local Plan has to be in ‘general conformity’</w:t>
      </w:r>
      <w:r w:rsidR="00C35C75">
        <w:t xml:space="preserve"> with the London Plan. General conformity </w:t>
      </w:r>
      <w:r w:rsidR="0083362A">
        <w:t xml:space="preserve">provides some scope for </w:t>
      </w:r>
      <w:r w:rsidR="00114F3A">
        <w:t>local variation in local plans (i.e. its not ‘absolute’ conformity) but the London Plan drafting</w:t>
      </w:r>
      <w:r w:rsidR="00D13B9C">
        <w:t xml:space="preserve"> will determine any scope (i.e. </w:t>
      </w:r>
      <w:r w:rsidR="00997432">
        <w:t xml:space="preserve">whether </w:t>
      </w:r>
      <w:r w:rsidR="004A47F6">
        <w:t>a requirement is something boroughs ‘must’, ‘should’ or ‘may’</w:t>
      </w:r>
      <w:r w:rsidR="00BE1E25">
        <w:t xml:space="preserve"> do</w:t>
      </w:r>
      <w:r w:rsidR="00C35AC1">
        <w:t xml:space="preserve">). </w:t>
      </w:r>
    </w:p>
    <w:p w14:paraId="07DFCF5C" w14:textId="77777777" w:rsidR="00E62106" w:rsidRDefault="00E62106" w:rsidP="00B25AA4">
      <w:pPr>
        <w:ind w:left="851" w:hanging="851"/>
      </w:pPr>
    </w:p>
    <w:p w14:paraId="335E4431" w14:textId="70A915E1" w:rsidR="00C35AC1" w:rsidRPr="007224B7" w:rsidRDefault="007224B7" w:rsidP="00BE1E25">
      <w:pPr>
        <w:keepNext/>
        <w:ind w:left="851"/>
        <w:rPr>
          <w:i/>
          <w:iCs/>
        </w:rPr>
      </w:pPr>
      <w:r w:rsidRPr="007224B7">
        <w:rPr>
          <w:i/>
          <w:iCs/>
        </w:rPr>
        <w:t>Harrow Local Plan</w:t>
      </w:r>
    </w:p>
    <w:p w14:paraId="41D637F6" w14:textId="77777777" w:rsidR="007224B7" w:rsidRDefault="007224B7" w:rsidP="00BE1E25">
      <w:pPr>
        <w:keepNext/>
        <w:ind w:left="851" w:hanging="851"/>
      </w:pPr>
    </w:p>
    <w:p w14:paraId="4329F4D0" w14:textId="794E3B89" w:rsidR="007224B7" w:rsidRDefault="007224B7" w:rsidP="00BE1E25">
      <w:pPr>
        <w:keepNext/>
        <w:ind w:left="851" w:hanging="851"/>
      </w:pPr>
      <w:r>
        <w:t>3.6</w:t>
      </w:r>
      <w:r>
        <w:tab/>
        <w:t>The Harrow Local Plan currently comprises:</w:t>
      </w:r>
    </w:p>
    <w:p w14:paraId="7B3837BC" w14:textId="77777777" w:rsidR="007224B7" w:rsidRPr="00651B11" w:rsidRDefault="007224B7" w:rsidP="00BE1E25">
      <w:pPr>
        <w:keepNext/>
        <w:rPr>
          <w:rFonts w:cs="Arial"/>
          <w:szCs w:val="24"/>
        </w:rPr>
      </w:pPr>
    </w:p>
    <w:p w14:paraId="36BF21E1" w14:textId="77777777" w:rsidR="007224B7" w:rsidRPr="00651B11" w:rsidRDefault="007224B7" w:rsidP="009E431C">
      <w:pPr>
        <w:ind w:left="1418" w:hanging="567"/>
        <w:rPr>
          <w:rFonts w:cs="Arial"/>
          <w:szCs w:val="24"/>
        </w:rPr>
      </w:pPr>
      <w:r>
        <w:rPr>
          <w:rFonts w:cs="Arial"/>
          <w:szCs w:val="24"/>
        </w:rPr>
        <w:t>(a)</w:t>
      </w:r>
      <w:r>
        <w:rPr>
          <w:rFonts w:cs="Arial"/>
          <w:szCs w:val="24"/>
        </w:rPr>
        <w:tab/>
      </w:r>
      <w:r w:rsidRPr="00651B11">
        <w:rPr>
          <w:rFonts w:cs="Arial"/>
          <w:b/>
          <w:szCs w:val="24"/>
        </w:rPr>
        <w:t>Core Strategy (February 2012)</w:t>
      </w:r>
      <w:r w:rsidRPr="00651B11">
        <w:rPr>
          <w:rFonts w:cs="Arial"/>
          <w:szCs w:val="24"/>
        </w:rPr>
        <w:t xml:space="preserve"> - sets out the long-term vision of how Harrow, and the places within it, should develop by 2026 and sets out the Council's spatial strategy for delivering that vision. In particular, it identifies the broad locations for delivering </w:t>
      </w:r>
      <w:r w:rsidRPr="00651B11">
        <w:rPr>
          <w:rFonts w:cs="Arial"/>
          <w:szCs w:val="24"/>
        </w:rPr>
        <w:lastRenderedPageBreak/>
        <w:t>housing and other strategic development needs such as employment, retail, leisure, community facilities and other uses. It also sets the context for the other policy documents that make up the Harrow Local Plan.</w:t>
      </w:r>
    </w:p>
    <w:p w14:paraId="5D8394DF" w14:textId="77777777" w:rsidR="007224B7" w:rsidRDefault="007224B7" w:rsidP="009E431C">
      <w:pPr>
        <w:ind w:left="1418" w:hanging="567"/>
        <w:rPr>
          <w:rFonts w:cs="Arial"/>
          <w:szCs w:val="24"/>
        </w:rPr>
      </w:pPr>
    </w:p>
    <w:p w14:paraId="1BF30A94" w14:textId="73FF7B7B" w:rsidR="007224B7" w:rsidRPr="00651B11" w:rsidRDefault="007224B7" w:rsidP="009E431C">
      <w:pPr>
        <w:ind w:left="1418" w:hanging="567"/>
        <w:rPr>
          <w:rFonts w:cs="Arial"/>
          <w:szCs w:val="24"/>
        </w:rPr>
      </w:pPr>
      <w:r>
        <w:rPr>
          <w:rFonts w:cs="Arial"/>
          <w:szCs w:val="24"/>
        </w:rPr>
        <w:t>(b)</w:t>
      </w:r>
      <w:r>
        <w:rPr>
          <w:rFonts w:cs="Arial"/>
          <w:szCs w:val="24"/>
        </w:rPr>
        <w:tab/>
      </w:r>
      <w:r w:rsidRPr="00692181">
        <w:rPr>
          <w:rFonts w:cs="Arial"/>
          <w:b/>
          <w:szCs w:val="24"/>
        </w:rPr>
        <w:t>Harrow and Wealdstone Area Action Plan (July 2013)</w:t>
      </w:r>
      <w:r w:rsidRPr="00651B11">
        <w:rPr>
          <w:rFonts w:cs="Arial"/>
          <w:szCs w:val="24"/>
        </w:rPr>
        <w:t xml:space="preserve"> - prepared jointly with the GLA and other partners, it sets out a comprehensive set of policies, proposals and site allocations for development within the Harrow and Wealdstone Intensification Area</w:t>
      </w:r>
      <w:r w:rsidR="00BF61CB">
        <w:rPr>
          <w:rStyle w:val="FootnoteReference"/>
          <w:rFonts w:cs="Arial"/>
          <w:szCs w:val="24"/>
        </w:rPr>
        <w:footnoteReference w:id="2"/>
      </w:r>
      <w:r w:rsidRPr="00651B11">
        <w:rPr>
          <w:rFonts w:cs="Arial"/>
          <w:szCs w:val="24"/>
        </w:rPr>
        <w:t>, which includes the town centres of Harrow and Wealdstone, the corridor between them, and the business land surrounding Wealdstone. It includes major redevelopment opportunities and supporting social and physical infrastructure, and sets out the planning framework promoting significant change, and where applicable detailed development management policies.</w:t>
      </w:r>
    </w:p>
    <w:p w14:paraId="55E981E4" w14:textId="77777777" w:rsidR="007224B7" w:rsidRDefault="007224B7" w:rsidP="009E431C">
      <w:pPr>
        <w:ind w:left="1418" w:hanging="567"/>
        <w:rPr>
          <w:rFonts w:cs="Arial"/>
          <w:szCs w:val="24"/>
        </w:rPr>
      </w:pPr>
    </w:p>
    <w:p w14:paraId="7A28F585" w14:textId="77777777" w:rsidR="007224B7" w:rsidRPr="00651B11" w:rsidRDefault="007224B7" w:rsidP="009E431C">
      <w:pPr>
        <w:ind w:left="1418" w:hanging="567"/>
        <w:rPr>
          <w:rFonts w:cs="Arial"/>
          <w:szCs w:val="24"/>
        </w:rPr>
      </w:pPr>
      <w:r>
        <w:rPr>
          <w:rFonts w:cs="Arial"/>
          <w:szCs w:val="24"/>
        </w:rPr>
        <w:t>(c)</w:t>
      </w:r>
      <w:r>
        <w:rPr>
          <w:rFonts w:cs="Arial"/>
          <w:szCs w:val="24"/>
        </w:rPr>
        <w:tab/>
      </w:r>
      <w:r w:rsidRPr="00692181">
        <w:rPr>
          <w:rFonts w:cs="Arial"/>
          <w:b/>
          <w:szCs w:val="24"/>
        </w:rPr>
        <w:t>Development Management Policies Local Plan (July 2013)</w:t>
      </w:r>
      <w:r w:rsidRPr="00651B11">
        <w:rPr>
          <w:rFonts w:cs="Arial"/>
          <w:szCs w:val="24"/>
        </w:rPr>
        <w:t xml:space="preserve"> - contains detailed policies that planning applications for development or land use will be assessed against. The policies are generally criteria based and focus on giving effect to the strategic objectives and policies of the Core Strategy.</w:t>
      </w:r>
    </w:p>
    <w:p w14:paraId="105FEC86" w14:textId="77777777" w:rsidR="007224B7" w:rsidRDefault="007224B7" w:rsidP="009E431C">
      <w:pPr>
        <w:ind w:left="1418" w:hanging="567"/>
        <w:rPr>
          <w:rFonts w:cs="Arial"/>
          <w:szCs w:val="24"/>
        </w:rPr>
      </w:pPr>
    </w:p>
    <w:p w14:paraId="4B01983C" w14:textId="77777777" w:rsidR="007224B7" w:rsidRPr="00651B11" w:rsidRDefault="007224B7" w:rsidP="009E431C">
      <w:pPr>
        <w:ind w:left="1418" w:hanging="567"/>
        <w:rPr>
          <w:rFonts w:cs="Arial"/>
          <w:szCs w:val="24"/>
        </w:rPr>
      </w:pPr>
      <w:r>
        <w:rPr>
          <w:rFonts w:cs="Arial"/>
          <w:szCs w:val="24"/>
        </w:rPr>
        <w:t>(d)</w:t>
      </w:r>
      <w:r>
        <w:rPr>
          <w:rFonts w:cs="Arial"/>
          <w:szCs w:val="24"/>
        </w:rPr>
        <w:tab/>
      </w:r>
      <w:r w:rsidRPr="00692181">
        <w:rPr>
          <w:rFonts w:cs="Arial"/>
          <w:b/>
          <w:szCs w:val="24"/>
        </w:rPr>
        <w:t>Site Allocations Local Plan (July 2013)</w:t>
      </w:r>
      <w:r w:rsidRPr="00651B11">
        <w:rPr>
          <w:rFonts w:cs="Arial"/>
          <w:szCs w:val="24"/>
        </w:rPr>
        <w:t xml:space="preserve"> - sets out the allocated sites except for those set out in the Area Action Plan. It identifies the locations and sites for specific types of development in order to ensure the vision, objectives and strategy of the Core Strategy are implemented. The broad parameters for development of each site are listed covering land use and development criteria.</w:t>
      </w:r>
    </w:p>
    <w:p w14:paraId="3D5006B9" w14:textId="77777777" w:rsidR="007224B7" w:rsidRPr="00651B11" w:rsidRDefault="007224B7" w:rsidP="009E431C">
      <w:pPr>
        <w:rPr>
          <w:rFonts w:cs="Arial"/>
          <w:szCs w:val="24"/>
        </w:rPr>
      </w:pPr>
    </w:p>
    <w:p w14:paraId="421EC23F" w14:textId="5C1A742B" w:rsidR="007224B7" w:rsidRDefault="009E431C" w:rsidP="009E431C">
      <w:pPr>
        <w:ind w:left="851" w:hanging="851"/>
      </w:pPr>
      <w:r>
        <w:t>3.7</w:t>
      </w:r>
      <w:r w:rsidR="007224B7" w:rsidRPr="009E431C">
        <w:tab/>
        <w:t xml:space="preserve">The above are accompanied by an adopted </w:t>
      </w:r>
      <w:r w:rsidR="007224B7" w:rsidRPr="00BD5A69">
        <w:rPr>
          <w:b/>
          <w:bCs/>
        </w:rPr>
        <w:t>Policies Map</w:t>
      </w:r>
      <w:r w:rsidR="007224B7" w:rsidRPr="009E431C">
        <w:t xml:space="preserve"> that illustrates particular land uses throughout the Borough including areas for protection such as open space and conservation areas, as well as employment and residential activities. It also identifies key sites for development (‘site allocations’).</w:t>
      </w:r>
    </w:p>
    <w:p w14:paraId="231230B9" w14:textId="77777777" w:rsidR="00803126" w:rsidRDefault="00803126" w:rsidP="009E431C">
      <w:pPr>
        <w:ind w:left="851" w:hanging="851"/>
      </w:pPr>
    </w:p>
    <w:p w14:paraId="2F858FD5" w14:textId="4D72B295" w:rsidR="00C80F54" w:rsidRDefault="003046B9" w:rsidP="00B25AA4">
      <w:pPr>
        <w:ind w:left="851" w:hanging="851"/>
      </w:pPr>
      <w:r>
        <w:t>3.8</w:t>
      </w:r>
      <w:r>
        <w:tab/>
      </w:r>
      <w:r w:rsidR="00C80F54">
        <w:t>As the</w:t>
      </w:r>
      <w:r w:rsidR="00803126">
        <w:t xml:space="preserve"> Harrow</w:t>
      </w:r>
      <w:r w:rsidR="00C80F54">
        <w:t xml:space="preserve"> Local Pla</w:t>
      </w:r>
      <w:r w:rsidR="001A6BB2">
        <w:t>n documents</w:t>
      </w:r>
      <w:r w:rsidR="00DE66ED">
        <w:t xml:space="preserve"> above were prepared over five years ago, aspects of them are considered to be out-of-date</w:t>
      </w:r>
      <w:r w:rsidR="0081554D">
        <w:t xml:space="preserve"> </w:t>
      </w:r>
      <w:r w:rsidR="00AC2D80">
        <w:t>and</w:t>
      </w:r>
      <w:r w:rsidR="0081554D">
        <w:t xml:space="preserve"> where the London Plan</w:t>
      </w:r>
      <w:r w:rsidR="00AC2D80">
        <w:t xml:space="preserve"> </w:t>
      </w:r>
      <w:r w:rsidR="00B33BE4">
        <w:t xml:space="preserve">has a policy also covered in the Harrow Local Plan, the London Plan </w:t>
      </w:r>
      <w:r>
        <w:t>policy will take precedence where there is a conflict as the London Plan was adopted more recently.</w:t>
      </w:r>
    </w:p>
    <w:p w14:paraId="16639F82" w14:textId="77777777" w:rsidR="00C35AC1" w:rsidRDefault="00C35AC1" w:rsidP="00B25AA4">
      <w:pPr>
        <w:ind w:left="851" w:hanging="851"/>
      </w:pPr>
    </w:p>
    <w:p w14:paraId="749E5622" w14:textId="35C74983" w:rsidR="003046B9" w:rsidRPr="003046B9" w:rsidRDefault="003046B9" w:rsidP="003046B9">
      <w:pPr>
        <w:ind w:left="851" w:hanging="851"/>
      </w:pPr>
      <w:r>
        <w:t>3.9</w:t>
      </w:r>
      <w:r w:rsidRPr="003046B9">
        <w:tab/>
      </w:r>
      <w:r w:rsidR="003E63CF">
        <w:t xml:space="preserve">The </w:t>
      </w:r>
      <w:r w:rsidRPr="003046B9">
        <w:t xml:space="preserve">West London Waste Plan (July 2015) </w:t>
      </w:r>
      <w:r w:rsidR="003E63CF">
        <w:t>is also part of the Harrow Local Plan. T</w:t>
      </w:r>
      <w:r w:rsidRPr="003046B9">
        <w:t>his is a joint Local Plan document prepared by the six west London Boroughs of Harrow, Brent, Ealing, Hillingdon, Hounslow and Richmond. The joint West London Waste Plan (WLWP) identifies and safeguards sufficient sites for waste management facilities in the area to deal with West London’s own waste up to 2031. The Plan also contains policies against which to assess proposals for waste management facilities.</w:t>
      </w:r>
      <w:r w:rsidR="003E63CF">
        <w:t xml:space="preserve"> This plan will be updated separately.</w:t>
      </w:r>
    </w:p>
    <w:p w14:paraId="6920795D" w14:textId="77777777" w:rsidR="00E37732" w:rsidRDefault="00E37732" w:rsidP="00BF73CF">
      <w:pPr>
        <w:ind w:left="851" w:hanging="851"/>
      </w:pPr>
    </w:p>
    <w:p w14:paraId="4C6C1888" w14:textId="4D7F32E6" w:rsidR="00854C61" w:rsidRPr="00854C61" w:rsidRDefault="00854C61" w:rsidP="001850DA">
      <w:pPr>
        <w:keepNext/>
        <w:ind w:left="851"/>
        <w:rPr>
          <w:i/>
          <w:iCs/>
        </w:rPr>
      </w:pPr>
      <w:r>
        <w:rPr>
          <w:i/>
          <w:iCs/>
        </w:rPr>
        <w:t>Supplementary Planning Documents and other material considerations</w:t>
      </w:r>
    </w:p>
    <w:p w14:paraId="199E9F4A" w14:textId="77777777" w:rsidR="00854C61" w:rsidRDefault="00854C61" w:rsidP="001850DA">
      <w:pPr>
        <w:keepNext/>
        <w:ind w:left="851" w:hanging="851"/>
      </w:pPr>
    </w:p>
    <w:p w14:paraId="533FBF08" w14:textId="3B2D5571" w:rsidR="001850DA" w:rsidRPr="001850DA" w:rsidRDefault="001850DA" w:rsidP="001850DA">
      <w:pPr>
        <w:ind w:left="851" w:hanging="851"/>
      </w:pPr>
      <w:r>
        <w:t>3.10</w:t>
      </w:r>
      <w:r>
        <w:tab/>
      </w:r>
      <w:r w:rsidRPr="001850DA">
        <w:t>Supplementary Planning Documents support policies in the Core Strategy. They are recognised in legislation. They have been subject to public consultation and approved by Executive. Supplementary Planning Documents are a material consideration in the determination of planning applications.</w:t>
      </w:r>
    </w:p>
    <w:p w14:paraId="05B6C887" w14:textId="77777777" w:rsidR="003046B9" w:rsidRDefault="003046B9" w:rsidP="00A314A6">
      <w:pPr>
        <w:ind w:left="851" w:hanging="851"/>
      </w:pPr>
    </w:p>
    <w:p w14:paraId="3E18DB75" w14:textId="6B86FE28" w:rsidR="001850DA" w:rsidRPr="001850DA" w:rsidRDefault="001850DA" w:rsidP="001850DA">
      <w:pPr>
        <w:ind w:left="851" w:hanging="851"/>
      </w:pPr>
      <w:r>
        <w:t>3.11</w:t>
      </w:r>
      <w:r>
        <w:tab/>
      </w:r>
      <w:r w:rsidRPr="001850DA">
        <w:t>Other material considerations include emerging draft plans prepared under a statutory scheme. They gain weight as they reach an advanced stage of preparation but have not been examined or adopted.</w:t>
      </w:r>
    </w:p>
    <w:p w14:paraId="7A216F91" w14:textId="65B6B85E" w:rsidR="00786EF9" w:rsidRPr="00424E06" w:rsidRDefault="00F057AF" w:rsidP="009A7182">
      <w:pPr>
        <w:pStyle w:val="Heading3"/>
        <w:keepNext/>
        <w:spacing w:before="240"/>
        <w:ind w:left="851" w:hanging="851"/>
        <w:jc w:val="left"/>
      </w:pPr>
      <w:r w:rsidRPr="00424E06">
        <w:t>4.0</w:t>
      </w:r>
      <w:r w:rsidRPr="00424E06">
        <w:tab/>
      </w:r>
      <w:r w:rsidR="000A108D">
        <w:t>Context for the New Local Plan</w:t>
      </w:r>
    </w:p>
    <w:p w14:paraId="20FD1D67" w14:textId="77777777" w:rsidR="00427B7E" w:rsidRDefault="00427B7E" w:rsidP="009A7182">
      <w:pPr>
        <w:keepNext/>
      </w:pPr>
    </w:p>
    <w:p w14:paraId="4C4C9CF5" w14:textId="47A69440" w:rsidR="00A60418" w:rsidRPr="006F0AB0" w:rsidRDefault="00A60418" w:rsidP="009A7182">
      <w:pPr>
        <w:keepNext/>
        <w:ind w:left="851"/>
        <w:rPr>
          <w:i/>
          <w:iCs/>
        </w:rPr>
      </w:pPr>
      <w:r w:rsidRPr="006F0AB0">
        <w:rPr>
          <w:i/>
          <w:iCs/>
        </w:rPr>
        <w:t>Achieving sustainable development</w:t>
      </w:r>
    </w:p>
    <w:p w14:paraId="30F29263" w14:textId="77777777" w:rsidR="00A60418" w:rsidRPr="006F0AB0" w:rsidRDefault="00A60418" w:rsidP="009A7182">
      <w:pPr>
        <w:keepNext/>
        <w:ind w:left="851" w:hanging="851"/>
        <w:rPr>
          <w:i/>
          <w:iCs/>
        </w:rPr>
      </w:pPr>
    </w:p>
    <w:p w14:paraId="031B893D" w14:textId="17E42BA6" w:rsidR="00F43715" w:rsidRPr="00F43715" w:rsidRDefault="00F43715" w:rsidP="00F43715">
      <w:pPr>
        <w:ind w:left="851" w:hanging="851"/>
      </w:pPr>
      <w:r>
        <w:t>4.1</w:t>
      </w:r>
      <w:r>
        <w:tab/>
      </w:r>
      <w:r w:rsidR="00A60418">
        <w:t xml:space="preserve">The NPPF </w:t>
      </w:r>
      <w:r>
        <w:t>indicates that the</w:t>
      </w:r>
      <w:r w:rsidRPr="00F43715">
        <w:t xml:space="preserve"> purpose of the planning system is to contribute to the achievement of sustainable development</w:t>
      </w:r>
      <w:r>
        <w:t>. T</w:t>
      </w:r>
      <w:r w:rsidRPr="00F43715">
        <w:t>he objective of sustainable development can be summarised as meeting the needs of the present without compromising the ability of future generations to meet their own needs</w:t>
      </w:r>
      <w:r w:rsidR="00CF6E2E">
        <w:t>.</w:t>
      </w:r>
    </w:p>
    <w:p w14:paraId="558AFFB5" w14:textId="77777777" w:rsidR="00CF6E2E" w:rsidRDefault="00CF6E2E" w:rsidP="00F43715">
      <w:pPr>
        <w:ind w:left="851" w:hanging="851"/>
      </w:pPr>
    </w:p>
    <w:p w14:paraId="526C9405" w14:textId="76BB5DCB" w:rsidR="00F43715" w:rsidRDefault="00CF6E2E" w:rsidP="007B5C74">
      <w:pPr>
        <w:keepNext/>
        <w:ind w:left="851" w:hanging="851"/>
      </w:pPr>
      <w:r>
        <w:t>4.2</w:t>
      </w:r>
      <w:r>
        <w:tab/>
      </w:r>
      <w:r w:rsidR="00F43715" w:rsidRPr="00F43715">
        <w:t xml:space="preserve">The planning system </w:t>
      </w:r>
      <w:r w:rsidR="005941A3">
        <w:t xml:space="preserve">therefore </w:t>
      </w:r>
      <w:r w:rsidR="00F43715" w:rsidRPr="00F43715">
        <w:t>has three overarching objectives, which are interdependent and need to be pursued in mutually supportive ways</w:t>
      </w:r>
      <w:r>
        <w:t>:</w:t>
      </w:r>
    </w:p>
    <w:p w14:paraId="2E3985F1" w14:textId="77777777" w:rsidR="00F43715" w:rsidRDefault="00F43715" w:rsidP="007B5C74">
      <w:pPr>
        <w:keepNext/>
        <w:ind w:left="851" w:hanging="851"/>
      </w:pPr>
    </w:p>
    <w:p w14:paraId="3CE741A4" w14:textId="23300C26" w:rsidR="00F43715" w:rsidRDefault="0029329D" w:rsidP="007B5C74">
      <w:pPr>
        <w:keepNext/>
        <w:ind w:left="1418" w:hanging="567"/>
      </w:pPr>
      <w:r>
        <w:t>(a)</w:t>
      </w:r>
      <w:r>
        <w:tab/>
      </w:r>
      <w:r w:rsidR="00CF6E2E">
        <w:t>An economic objective</w:t>
      </w:r>
    </w:p>
    <w:p w14:paraId="7104BA1B" w14:textId="10384070" w:rsidR="00F43715" w:rsidRDefault="0029329D" w:rsidP="007B5C74">
      <w:pPr>
        <w:keepNext/>
        <w:ind w:left="1418" w:hanging="567"/>
      </w:pPr>
      <w:r>
        <w:t>(b)</w:t>
      </w:r>
      <w:r>
        <w:tab/>
      </w:r>
      <w:r w:rsidR="00CF6E2E">
        <w:t>A social objective</w:t>
      </w:r>
    </w:p>
    <w:p w14:paraId="2557FAC8" w14:textId="2E1A0211" w:rsidR="00F43715" w:rsidRPr="00F43715" w:rsidRDefault="0029329D" w:rsidP="0029329D">
      <w:pPr>
        <w:ind w:left="1418" w:hanging="567"/>
      </w:pPr>
      <w:r>
        <w:t>(c)</w:t>
      </w:r>
      <w:r>
        <w:tab/>
      </w:r>
      <w:r w:rsidR="00CF6E2E">
        <w:t>An environme</w:t>
      </w:r>
      <w:r>
        <w:t>ntal objective</w:t>
      </w:r>
    </w:p>
    <w:p w14:paraId="7F5F48F1" w14:textId="2A7759C3" w:rsidR="00A60418" w:rsidRDefault="00A60418" w:rsidP="007B5C74"/>
    <w:p w14:paraId="70E8DB11" w14:textId="290A3E3B" w:rsidR="00A60418" w:rsidRPr="005941A3" w:rsidRDefault="00D704D2" w:rsidP="00B11586">
      <w:pPr>
        <w:keepNext/>
        <w:ind w:left="851"/>
        <w:rPr>
          <w:i/>
          <w:iCs/>
        </w:rPr>
      </w:pPr>
      <w:r w:rsidRPr="005941A3">
        <w:rPr>
          <w:i/>
          <w:iCs/>
        </w:rPr>
        <w:t>The presumption in favour of sustainable development</w:t>
      </w:r>
    </w:p>
    <w:p w14:paraId="666EAE39" w14:textId="77777777" w:rsidR="006F0AB0" w:rsidRPr="00424E06" w:rsidRDefault="006F0AB0" w:rsidP="00B11586">
      <w:pPr>
        <w:keepNext/>
      </w:pPr>
    </w:p>
    <w:p w14:paraId="189C477E" w14:textId="5E59F91B" w:rsidR="005F1CE8" w:rsidRPr="005F1CE8" w:rsidRDefault="00F057AF" w:rsidP="00B11586">
      <w:pPr>
        <w:keepNext/>
        <w:ind w:left="851" w:hanging="851"/>
      </w:pPr>
      <w:r w:rsidRPr="00424E06">
        <w:t>4.</w:t>
      </w:r>
      <w:r w:rsidR="00713336">
        <w:t>3</w:t>
      </w:r>
      <w:r w:rsidRPr="00424E06">
        <w:tab/>
      </w:r>
      <w:r w:rsidR="006D7C4C">
        <w:t xml:space="preserve">The NPPF further indicates that </w:t>
      </w:r>
      <w:r w:rsidR="005F1CE8" w:rsidRPr="005F1CE8">
        <w:t xml:space="preserve">all plans should promote a sustainable pattern of development that seeks to: </w:t>
      </w:r>
    </w:p>
    <w:p w14:paraId="0550E70F" w14:textId="77777777" w:rsidR="005F1CE8" w:rsidRDefault="005F1CE8" w:rsidP="00B11586">
      <w:pPr>
        <w:keepNext/>
        <w:ind w:left="1418" w:hanging="567"/>
      </w:pPr>
    </w:p>
    <w:p w14:paraId="4227AFDD" w14:textId="7221ED41" w:rsidR="005F1CE8" w:rsidRPr="005F1CE8" w:rsidRDefault="005F1CE8" w:rsidP="005F1CE8">
      <w:pPr>
        <w:ind w:left="1418" w:hanging="567"/>
      </w:pPr>
      <w:r>
        <w:t>(a)</w:t>
      </w:r>
      <w:r>
        <w:tab/>
      </w:r>
      <w:r w:rsidRPr="005F1CE8">
        <w:t>meet the development needs of their area;</w:t>
      </w:r>
    </w:p>
    <w:p w14:paraId="07928D87" w14:textId="1A97D2B2" w:rsidR="005F1CE8" w:rsidRPr="005F1CE8" w:rsidRDefault="005F1CE8" w:rsidP="005F1CE8">
      <w:pPr>
        <w:ind w:left="1418" w:hanging="567"/>
      </w:pPr>
      <w:r>
        <w:t>(b)</w:t>
      </w:r>
      <w:r>
        <w:tab/>
      </w:r>
      <w:r w:rsidRPr="005F1CE8">
        <w:t>align growth and infrastructure;</w:t>
      </w:r>
    </w:p>
    <w:p w14:paraId="1C4C2F2A" w14:textId="4D7AC8B6" w:rsidR="005F1CE8" w:rsidRPr="005F1CE8" w:rsidRDefault="005F1CE8" w:rsidP="005F1CE8">
      <w:pPr>
        <w:ind w:left="1418" w:hanging="567"/>
      </w:pPr>
      <w:r>
        <w:t>(c)</w:t>
      </w:r>
      <w:r>
        <w:tab/>
      </w:r>
      <w:r w:rsidRPr="005F1CE8">
        <w:t>improve the environment;</w:t>
      </w:r>
    </w:p>
    <w:p w14:paraId="31BA1DCC" w14:textId="7A72C3FB" w:rsidR="005F1CE8" w:rsidRPr="005F1CE8" w:rsidRDefault="005F1CE8" w:rsidP="005F1CE8">
      <w:pPr>
        <w:ind w:left="1418" w:hanging="567"/>
      </w:pPr>
      <w:r>
        <w:t>(d)</w:t>
      </w:r>
      <w:r>
        <w:tab/>
      </w:r>
      <w:r w:rsidRPr="005F1CE8">
        <w:t>mitigate climate change;</w:t>
      </w:r>
    </w:p>
    <w:p w14:paraId="4C15F626" w14:textId="4696F40D" w:rsidR="005F1CE8" w:rsidRPr="005F1CE8" w:rsidRDefault="005F1CE8" w:rsidP="005F1CE8">
      <w:pPr>
        <w:ind w:left="1418" w:hanging="567"/>
      </w:pPr>
      <w:r>
        <w:t>(e)</w:t>
      </w:r>
      <w:r>
        <w:tab/>
      </w:r>
      <w:r w:rsidRPr="005F1CE8">
        <w:t>including by making effective use of land in urban areas</w:t>
      </w:r>
    </w:p>
    <w:p w14:paraId="36AB1F3D" w14:textId="3E6F790D" w:rsidR="00A67233" w:rsidRDefault="00A67233" w:rsidP="00F057AF">
      <w:pPr>
        <w:ind w:left="851" w:hanging="851"/>
      </w:pPr>
    </w:p>
    <w:p w14:paraId="665788E8" w14:textId="14DA34F4" w:rsidR="005F1CE8" w:rsidRDefault="00713336" w:rsidP="00806D74">
      <w:pPr>
        <w:keepNext/>
        <w:ind w:left="851" w:hanging="851"/>
      </w:pPr>
      <w:r>
        <w:t>4.4</w:t>
      </w:r>
      <w:r>
        <w:tab/>
        <w:t>Any s</w:t>
      </w:r>
      <w:r w:rsidR="005F1CE8" w:rsidRPr="005F1CE8">
        <w:t xml:space="preserve">trategic policies </w:t>
      </w:r>
      <w:r>
        <w:t xml:space="preserve">within a Local Plan </w:t>
      </w:r>
      <w:r w:rsidR="005F1CE8" w:rsidRPr="005F1CE8">
        <w:t>should, as a minimum, provide for objectively assessed needs for housing and other uses, as well as any needs that cannot be met within neighbouring areas, unless:</w:t>
      </w:r>
    </w:p>
    <w:p w14:paraId="48840726" w14:textId="77777777" w:rsidR="005F1CE8" w:rsidRPr="005F1CE8" w:rsidRDefault="005F1CE8" w:rsidP="00806D74">
      <w:pPr>
        <w:keepNext/>
        <w:ind w:left="851" w:hanging="851"/>
      </w:pPr>
    </w:p>
    <w:p w14:paraId="472C27C3" w14:textId="7F8F0126" w:rsidR="005F1CE8" w:rsidRPr="005F1CE8" w:rsidRDefault="00C87DD2" w:rsidP="00713336">
      <w:pPr>
        <w:ind w:left="1418" w:hanging="567"/>
      </w:pPr>
      <w:r>
        <w:t>(a)</w:t>
      </w:r>
      <w:r>
        <w:tab/>
      </w:r>
      <w:r w:rsidR="005F1CE8" w:rsidRPr="005F1CE8">
        <w:t xml:space="preserve">the application of policies in </w:t>
      </w:r>
      <w:r w:rsidR="00713336">
        <w:t>the NPPF</w:t>
      </w:r>
      <w:r w:rsidR="005F1CE8" w:rsidRPr="005F1CE8">
        <w:t xml:space="preserve"> that protect areas or assets of particular importance provides a strong reason for </w:t>
      </w:r>
      <w:r w:rsidR="005F1CE8" w:rsidRPr="005F1CE8">
        <w:lastRenderedPageBreak/>
        <w:t>restricting the overall scale, type or distribution of development in the plan area; or</w:t>
      </w:r>
    </w:p>
    <w:p w14:paraId="03FE4ADF" w14:textId="206372B1" w:rsidR="005F1CE8" w:rsidRPr="005F1CE8" w:rsidRDefault="00C87DD2" w:rsidP="00C87DD2">
      <w:pPr>
        <w:ind w:left="1418" w:hanging="567"/>
      </w:pPr>
      <w:r>
        <w:t>(b)</w:t>
      </w:r>
      <w:r>
        <w:tab/>
      </w:r>
      <w:r w:rsidR="005F1CE8" w:rsidRPr="005F1CE8">
        <w:t>any adverse impacts of doing so would significantly and demonstrably outweigh the benefits, when assessed against the policies in this Framework taken as a whole</w:t>
      </w:r>
      <w:r w:rsidR="00053B06">
        <w:t>.</w:t>
      </w:r>
    </w:p>
    <w:p w14:paraId="5DDA4439" w14:textId="18537144" w:rsidR="00A67233" w:rsidRPr="00424E06" w:rsidRDefault="00A67233" w:rsidP="00A67233"/>
    <w:p w14:paraId="1978201E" w14:textId="1D1FEDA2" w:rsidR="00A67233" w:rsidRPr="00424E06" w:rsidRDefault="00CD45EA" w:rsidP="00A24610">
      <w:pPr>
        <w:keepNext/>
        <w:ind w:left="851"/>
        <w:rPr>
          <w:i/>
          <w:iCs/>
        </w:rPr>
      </w:pPr>
      <w:r>
        <w:rPr>
          <w:i/>
          <w:iCs/>
        </w:rPr>
        <w:t xml:space="preserve">What </w:t>
      </w:r>
      <w:r w:rsidR="00486B97">
        <w:rPr>
          <w:i/>
          <w:iCs/>
        </w:rPr>
        <w:t>Plans should do</w:t>
      </w:r>
    </w:p>
    <w:p w14:paraId="2DEBC38C" w14:textId="77777777" w:rsidR="00FF5840" w:rsidRDefault="00FF5840" w:rsidP="00A24610">
      <w:pPr>
        <w:keepNext/>
      </w:pPr>
    </w:p>
    <w:p w14:paraId="380A4B0D" w14:textId="351977C7" w:rsidR="00486B97" w:rsidRDefault="00486B97" w:rsidP="00486B97">
      <w:pPr>
        <w:ind w:left="851" w:hanging="851"/>
      </w:pPr>
      <w:r>
        <w:t>4.5</w:t>
      </w:r>
      <w:r>
        <w:tab/>
        <w:t xml:space="preserve">In </w:t>
      </w:r>
      <w:r w:rsidR="00D1577B">
        <w:t>the above context, the NPPF indicates the New Local Plan should:</w:t>
      </w:r>
    </w:p>
    <w:p w14:paraId="12CEF93D" w14:textId="77777777" w:rsidR="00D1577B" w:rsidRDefault="00D1577B" w:rsidP="00A24610">
      <w:pPr>
        <w:keepNext/>
      </w:pPr>
    </w:p>
    <w:p w14:paraId="0B95257F" w14:textId="0C13836A" w:rsidR="00FF5840" w:rsidRPr="00FF5840" w:rsidRDefault="003245AF" w:rsidP="003245AF">
      <w:pPr>
        <w:ind w:left="1418" w:hanging="567"/>
      </w:pPr>
      <w:r>
        <w:t>(</w:t>
      </w:r>
      <w:r w:rsidR="00FF5840" w:rsidRPr="00FF5840">
        <w:t>a)</w:t>
      </w:r>
      <w:r>
        <w:tab/>
      </w:r>
      <w:r w:rsidR="00FF5840" w:rsidRPr="00FF5840">
        <w:t xml:space="preserve">be prepared with the objective of contributing to the achievement of sustainable development; </w:t>
      </w:r>
    </w:p>
    <w:p w14:paraId="73CC2D95" w14:textId="6F62ABF1" w:rsidR="00FF5840" w:rsidRPr="00FF5840" w:rsidRDefault="003245AF" w:rsidP="003245AF">
      <w:pPr>
        <w:ind w:left="1418" w:hanging="567"/>
      </w:pPr>
      <w:r>
        <w:t>(</w:t>
      </w:r>
      <w:r w:rsidR="00FF5840" w:rsidRPr="00FF5840">
        <w:t>b)</w:t>
      </w:r>
      <w:r>
        <w:tab/>
      </w:r>
      <w:r w:rsidR="00FF5840" w:rsidRPr="00FF5840">
        <w:t>be prepared positively, in a way that is aspirational but deliverable;</w:t>
      </w:r>
    </w:p>
    <w:p w14:paraId="7AFDB306" w14:textId="1C1EB632" w:rsidR="00FF5840" w:rsidRPr="00FF5840" w:rsidRDefault="003245AF" w:rsidP="003245AF">
      <w:pPr>
        <w:ind w:left="1418" w:hanging="567"/>
      </w:pPr>
      <w:r>
        <w:t>(</w:t>
      </w:r>
      <w:r w:rsidR="00FF5840" w:rsidRPr="00FF5840">
        <w:t>c)</w:t>
      </w:r>
      <w:r>
        <w:tab/>
      </w:r>
      <w:r w:rsidR="00FF5840" w:rsidRPr="00FF5840">
        <w:t>be shaped by early, proportionate and effective engagement between plan makers and communities, local organisations, businesses, infrastructure providers and operators and statutory consultees;</w:t>
      </w:r>
    </w:p>
    <w:p w14:paraId="502EC232" w14:textId="355838DE" w:rsidR="003245AF" w:rsidRPr="003245AF" w:rsidRDefault="003245AF" w:rsidP="003245AF">
      <w:pPr>
        <w:ind w:left="1418" w:hanging="567"/>
      </w:pPr>
      <w:r>
        <w:t>(</w:t>
      </w:r>
      <w:r w:rsidRPr="003245AF">
        <w:t>d)</w:t>
      </w:r>
      <w:r>
        <w:tab/>
      </w:r>
      <w:r w:rsidRPr="003245AF">
        <w:t xml:space="preserve">contain policies that are clearly written and unambiguous, so it is evident how a decision maker should react to development proposals; </w:t>
      </w:r>
    </w:p>
    <w:p w14:paraId="00FE9D97" w14:textId="03929324" w:rsidR="003245AF" w:rsidRDefault="003245AF" w:rsidP="003245AF">
      <w:pPr>
        <w:ind w:left="1418" w:hanging="567"/>
      </w:pPr>
      <w:r>
        <w:t>(</w:t>
      </w:r>
      <w:r w:rsidRPr="003245AF">
        <w:t>e)</w:t>
      </w:r>
      <w:r>
        <w:tab/>
      </w:r>
      <w:r w:rsidRPr="003245AF">
        <w:t>be accessible through the use of digital tools to assist public involvement and policy presentation; and</w:t>
      </w:r>
    </w:p>
    <w:p w14:paraId="513D6598" w14:textId="1770E824" w:rsidR="003245AF" w:rsidRPr="003245AF" w:rsidRDefault="003245AF" w:rsidP="003245AF">
      <w:pPr>
        <w:ind w:left="1418" w:hanging="567"/>
      </w:pPr>
      <w:r>
        <w:t>(</w:t>
      </w:r>
      <w:r w:rsidRPr="003245AF">
        <w:t>f)</w:t>
      </w:r>
      <w:r>
        <w:tab/>
      </w:r>
      <w:r w:rsidRPr="003245AF">
        <w:t>serve a clear purpose, avoiding unnecessary duplication of policies that apply to a particular area (including policies in this Framework, where relevant)</w:t>
      </w:r>
    </w:p>
    <w:p w14:paraId="2D804656" w14:textId="77777777" w:rsidR="00FF5840" w:rsidRDefault="00FF5840" w:rsidP="009E0B31"/>
    <w:p w14:paraId="3246CB5C" w14:textId="3A6775EC" w:rsidR="005C294D" w:rsidRDefault="002157AA" w:rsidP="002157AA">
      <w:pPr>
        <w:ind w:left="851" w:hanging="851"/>
      </w:pPr>
      <w:r>
        <w:t>4.6</w:t>
      </w:r>
      <w:r>
        <w:tab/>
        <w:t xml:space="preserve">It is relevant to note that </w:t>
      </w:r>
      <w:r w:rsidR="001D10F8">
        <w:t xml:space="preserve">the Government is proposing amendments to the NPPF that will impact upon the approach to </w:t>
      </w:r>
      <w:r w:rsidR="002170B7">
        <w:t>preparing local plans. Consultation closes 3 March 2023</w:t>
      </w:r>
      <w:r w:rsidR="00A75504">
        <w:t xml:space="preserve"> and the outcomes of this process should be known mid-year.</w:t>
      </w:r>
      <w:r w:rsidR="00D44ED9">
        <w:t xml:space="preserve"> The implications of any final changes to the NPPF on the preparation of the New Harrow Local Plan will need to be considered </w:t>
      </w:r>
      <w:r w:rsidR="00A47816">
        <w:t>and if necessary, the process, timeframes and approach revised in response.</w:t>
      </w:r>
      <w:r w:rsidR="00021CD2">
        <w:t xml:space="preserve"> The Panel would be </w:t>
      </w:r>
      <w:r w:rsidR="00510064">
        <w:t>advised</w:t>
      </w:r>
      <w:r w:rsidR="00021CD2">
        <w:t xml:space="preserve"> if such</w:t>
      </w:r>
      <w:r w:rsidR="00510064">
        <w:t xml:space="preserve"> action was </w:t>
      </w:r>
      <w:r w:rsidR="00EA33E1">
        <w:t>required,</w:t>
      </w:r>
      <w:r w:rsidR="00510064">
        <w:t xml:space="preserve"> and potential responses </w:t>
      </w:r>
      <w:r w:rsidR="00851DA5">
        <w:t>put forward</w:t>
      </w:r>
      <w:r w:rsidR="00510064">
        <w:t>.</w:t>
      </w:r>
    </w:p>
    <w:p w14:paraId="687A8B3A" w14:textId="24C14FEE" w:rsidR="00F360E9" w:rsidRDefault="00F360E9" w:rsidP="004E4214">
      <w:pPr>
        <w:pStyle w:val="Heading3"/>
        <w:keepNext/>
        <w:spacing w:before="240"/>
        <w:ind w:left="851" w:hanging="851"/>
        <w:jc w:val="left"/>
      </w:pPr>
      <w:r>
        <w:t>5.0</w:t>
      </w:r>
      <w:r>
        <w:tab/>
      </w:r>
      <w:r w:rsidR="00B10C59">
        <w:t>Vision and Objectives – current Local Plan</w:t>
      </w:r>
    </w:p>
    <w:p w14:paraId="49E2CE11" w14:textId="77777777" w:rsidR="00A75504" w:rsidRPr="00424E06" w:rsidRDefault="00A75504" w:rsidP="004E4214">
      <w:pPr>
        <w:keepNext/>
      </w:pPr>
    </w:p>
    <w:p w14:paraId="0D7AF5C2" w14:textId="7DD39DE4" w:rsidR="00A67233" w:rsidRPr="00424E06" w:rsidRDefault="00761A88" w:rsidP="004E4214">
      <w:pPr>
        <w:keepNext/>
        <w:ind w:left="851" w:hanging="851"/>
      </w:pPr>
      <w:r>
        <w:t>5.1</w:t>
      </w:r>
      <w:r w:rsidR="00F057AF" w:rsidRPr="00424E06">
        <w:tab/>
      </w:r>
      <w:r w:rsidR="002F268A">
        <w:t xml:space="preserve">As noted above, the Harrow Core Strategy </w:t>
      </w:r>
      <w:r w:rsidR="002F268A" w:rsidRPr="00651B11">
        <w:rPr>
          <w:rFonts w:cs="Arial"/>
          <w:szCs w:val="24"/>
        </w:rPr>
        <w:t>sets out the long-term vision of how Harrow, and the places within it, should develop by 2026 and sets out the Council's spatial strategy for delivering that vision</w:t>
      </w:r>
      <w:r w:rsidR="00A67233" w:rsidRPr="00424E06">
        <w:t>.</w:t>
      </w:r>
      <w:r w:rsidR="004E4214">
        <w:t xml:space="preserve"> </w:t>
      </w:r>
      <w:r w:rsidR="003E32E8">
        <w:t xml:space="preserve">Key </w:t>
      </w:r>
      <w:r w:rsidR="00D46542">
        <w:t xml:space="preserve">elements of the vision </w:t>
      </w:r>
      <w:r w:rsidR="0068734E">
        <w:t>are</w:t>
      </w:r>
      <w:r w:rsidR="00D46542">
        <w:t xml:space="preserve"> that by 2026, there would be:</w:t>
      </w:r>
    </w:p>
    <w:p w14:paraId="4132BAD0" w14:textId="75D7EAA2" w:rsidR="00A67233" w:rsidRDefault="00A67233" w:rsidP="004E4214">
      <w:pPr>
        <w:keepNext/>
      </w:pPr>
    </w:p>
    <w:p w14:paraId="281489EB" w14:textId="5E53DF0B" w:rsidR="00D46542" w:rsidRPr="00D46542" w:rsidRDefault="00D46542" w:rsidP="00D46542">
      <w:pPr>
        <w:ind w:left="1418" w:hanging="567"/>
      </w:pPr>
      <w:r>
        <w:t>(a)</w:t>
      </w:r>
      <w:r>
        <w:tab/>
      </w:r>
      <w:r w:rsidRPr="00D46542">
        <w:t>A more sustainable community</w:t>
      </w:r>
    </w:p>
    <w:p w14:paraId="36FBBE9C" w14:textId="5CF925BE" w:rsidR="00D46542" w:rsidRPr="00D46542" w:rsidRDefault="00D46542" w:rsidP="00D46542">
      <w:pPr>
        <w:ind w:left="1418" w:hanging="567"/>
      </w:pPr>
      <w:r>
        <w:t>(b)</w:t>
      </w:r>
      <w:r>
        <w:tab/>
      </w:r>
      <w:r w:rsidRPr="00D46542">
        <w:t>Comprehensive and co-ordinated regeneration activity</w:t>
      </w:r>
    </w:p>
    <w:p w14:paraId="72CC3006" w14:textId="014F2DD2" w:rsidR="00D46542" w:rsidRPr="00D46542" w:rsidRDefault="00D46542" w:rsidP="00D46542">
      <w:pPr>
        <w:ind w:left="1418" w:hanging="567"/>
      </w:pPr>
      <w:r>
        <w:t>(c)</w:t>
      </w:r>
      <w:r>
        <w:tab/>
      </w:r>
      <w:r w:rsidRPr="00D46542">
        <w:t>The Northolt Road business use area will have been renewed</w:t>
      </w:r>
    </w:p>
    <w:p w14:paraId="1E5B4FB7" w14:textId="46E84895" w:rsidR="00D46542" w:rsidRPr="00D46542" w:rsidRDefault="00D46542" w:rsidP="00D46542">
      <w:pPr>
        <w:ind w:left="1418" w:hanging="567"/>
      </w:pPr>
      <w:r>
        <w:t>(d)</w:t>
      </w:r>
      <w:r>
        <w:tab/>
      </w:r>
      <w:r w:rsidRPr="00D46542">
        <w:t>Rayners Lane will be enhanced to one of the best examples of a classic Metroland and Art Deco Centre in outer London</w:t>
      </w:r>
    </w:p>
    <w:p w14:paraId="300DEAEF" w14:textId="257EE473" w:rsidR="00D46542" w:rsidRPr="00D46542" w:rsidRDefault="00D46542" w:rsidP="00D46542">
      <w:pPr>
        <w:ind w:left="1418" w:hanging="567"/>
      </w:pPr>
      <w:r>
        <w:t>(e)</w:t>
      </w:r>
      <w:r>
        <w:tab/>
      </w:r>
      <w:r w:rsidRPr="00D46542">
        <w:t>The leafy suburban character of the Borough’s residential areas will have been safeguarded as areas of low density, family housing.</w:t>
      </w:r>
    </w:p>
    <w:p w14:paraId="20FAA94B" w14:textId="178061B7" w:rsidR="00D46542" w:rsidRPr="00D46542" w:rsidRDefault="00D46542" w:rsidP="00D46542">
      <w:pPr>
        <w:ind w:left="1418" w:hanging="567"/>
      </w:pPr>
      <w:r>
        <w:lastRenderedPageBreak/>
        <w:t>(f)</w:t>
      </w:r>
      <w:r>
        <w:tab/>
      </w:r>
      <w:r w:rsidRPr="00D46542">
        <w:t>The future of Bentley Priory and the RNOH will have been secured as places of national importance</w:t>
      </w:r>
    </w:p>
    <w:p w14:paraId="4B3D6D40" w14:textId="30944649" w:rsidR="00D46542" w:rsidRPr="00D46542" w:rsidRDefault="00D46542" w:rsidP="00D46542">
      <w:pPr>
        <w:ind w:left="1418" w:hanging="567"/>
      </w:pPr>
      <w:r>
        <w:t>(g)</w:t>
      </w:r>
      <w:r>
        <w:tab/>
      </w:r>
      <w:r w:rsidRPr="00D46542">
        <w:t>Employment land throughout the Borough will have managed to preserve a supply most suitable or existing and future needs</w:t>
      </w:r>
    </w:p>
    <w:p w14:paraId="0E950346" w14:textId="4B12F083" w:rsidR="00D46542" w:rsidRPr="00D46542" w:rsidRDefault="00D46542" w:rsidP="00D46542">
      <w:pPr>
        <w:ind w:left="1418" w:hanging="567"/>
      </w:pPr>
      <w:r>
        <w:t>(h)</w:t>
      </w:r>
      <w:r>
        <w:tab/>
      </w:r>
      <w:r w:rsidRPr="00D46542">
        <w:t>The housing needs of the borough will have been met</w:t>
      </w:r>
    </w:p>
    <w:p w14:paraId="05AB51CD" w14:textId="0AA18DD7" w:rsidR="00D46542" w:rsidRPr="00D46542" w:rsidRDefault="0099599C" w:rsidP="00D46542">
      <w:pPr>
        <w:ind w:left="1418" w:hanging="567"/>
      </w:pPr>
      <w:r>
        <w:t>(i)</w:t>
      </w:r>
      <w:r>
        <w:tab/>
      </w:r>
      <w:r w:rsidR="00D46542" w:rsidRPr="00D46542">
        <w:t>The overall amount of waste generated in the Borough will have been reduced</w:t>
      </w:r>
    </w:p>
    <w:p w14:paraId="0546FCF0" w14:textId="77777777" w:rsidR="00D46542" w:rsidRDefault="00D46542" w:rsidP="00A67233"/>
    <w:p w14:paraId="2F515257" w14:textId="40181572" w:rsidR="00D46542" w:rsidRDefault="0099599C" w:rsidP="0099599C">
      <w:pPr>
        <w:ind w:left="851" w:hanging="851"/>
      </w:pPr>
      <w:r>
        <w:t>5.2</w:t>
      </w:r>
      <w:r>
        <w:tab/>
        <w:t>The full spatial vision is included in Appendix 1.</w:t>
      </w:r>
    </w:p>
    <w:p w14:paraId="6801457F" w14:textId="77777777" w:rsidR="00D46542" w:rsidRDefault="00D46542" w:rsidP="00A67233"/>
    <w:p w14:paraId="24691247" w14:textId="624B4817" w:rsidR="00C47A87" w:rsidRDefault="00C47A87" w:rsidP="001D0D93">
      <w:pPr>
        <w:keepNext/>
        <w:ind w:left="851" w:hanging="851"/>
      </w:pPr>
      <w:r>
        <w:t>5.3</w:t>
      </w:r>
      <w:r>
        <w:tab/>
        <w:t>The current Core Strategy also includes four objectives</w:t>
      </w:r>
      <w:r w:rsidR="00071FD2">
        <w:t xml:space="preserve"> with associated</w:t>
      </w:r>
      <w:r w:rsidR="00B5385F">
        <w:t xml:space="preserve"> measures to achieve those objectives. The four objectives are:</w:t>
      </w:r>
    </w:p>
    <w:p w14:paraId="121BFCA3" w14:textId="77777777" w:rsidR="00B5385F" w:rsidRDefault="00B5385F" w:rsidP="001D0D93">
      <w:pPr>
        <w:keepNext/>
        <w:ind w:left="851" w:hanging="851"/>
      </w:pPr>
    </w:p>
    <w:p w14:paraId="08A4246C" w14:textId="5B93D27C" w:rsidR="0087652C" w:rsidRPr="0087652C" w:rsidRDefault="00741ACA" w:rsidP="00491177">
      <w:pPr>
        <w:ind w:left="1418" w:hanging="567"/>
      </w:pPr>
      <w:r>
        <w:t>(a)</w:t>
      </w:r>
      <w:r>
        <w:tab/>
      </w:r>
      <w:r w:rsidR="0087652C" w:rsidRPr="0087652C">
        <w:t xml:space="preserve">Protect the historical and environmental features that contribute to Harrow’s character and distinctiveness as a place to live, work and visit </w:t>
      </w:r>
    </w:p>
    <w:p w14:paraId="142778F4" w14:textId="77987D04" w:rsidR="0087652C" w:rsidRPr="0087652C" w:rsidRDefault="00741ACA" w:rsidP="00491177">
      <w:pPr>
        <w:ind w:left="1418" w:hanging="567"/>
      </w:pPr>
      <w:r>
        <w:t>(b)</w:t>
      </w:r>
      <w:r>
        <w:tab/>
      </w:r>
      <w:r w:rsidR="0087652C" w:rsidRPr="0087652C">
        <w:t>Enhance the infrastructure, environment and other resources which make Harrow a desirable place to live, work and visit</w:t>
      </w:r>
    </w:p>
    <w:p w14:paraId="3E1C9849" w14:textId="3A129720" w:rsidR="00491177" w:rsidRPr="00491177" w:rsidRDefault="00741ACA" w:rsidP="00491177">
      <w:pPr>
        <w:ind w:left="1418" w:hanging="567"/>
      </w:pPr>
      <w:r>
        <w:t>(c)</w:t>
      </w:r>
      <w:r>
        <w:tab/>
      </w:r>
      <w:r w:rsidR="00491177" w:rsidRPr="00491177">
        <w:t>Manage the Borough’s contribution to climate change and increase resilience to flooding</w:t>
      </w:r>
    </w:p>
    <w:p w14:paraId="40FF30C5" w14:textId="659DC5A1" w:rsidR="00491177" w:rsidRPr="00491177" w:rsidRDefault="00741ACA" w:rsidP="00491177">
      <w:pPr>
        <w:ind w:left="1418" w:hanging="567"/>
      </w:pPr>
      <w:r>
        <w:t>(d)</w:t>
      </w:r>
      <w:r>
        <w:tab/>
      </w:r>
      <w:r w:rsidR="00491177" w:rsidRPr="00491177">
        <w:t>Adapt to population and demographic changes to meet people’s needs and quality of life</w:t>
      </w:r>
    </w:p>
    <w:p w14:paraId="79012658" w14:textId="77777777" w:rsidR="00AB304C" w:rsidRDefault="00AB304C" w:rsidP="00AB304C">
      <w:pPr>
        <w:ind w:left="851" w:hanging="851"/>
      </w:pPr>
    </w:p>
    <w:p w14:paraId="3C28F2EF" w14:textId="77777777" w:rsidR="00AB304C" w:rsidRDefault="00AB304C" w:rsidP="00AB304C">
      <w:pPr>
        <w:ind w:left="851" w:hanging="851"/>
      </w:pPr>
      <w:r>
        <w:t>5.4</w:t>
      </w:r>
      <w:r>
        <w:tab/>
        <w:t>The measures associated with the four objectives are included in Appendix 1.</w:t>
      </w:r>
    </w:p>
    <w:p w14:paraId="3D7D2404" w14:textId="2732F8D0" w:rsidR="0040041D" w:rsidRDefault="0040041D" w:rsidP="00253901">
      <w:pPr>
        <w:pStyle w:val="Heading3"/>
        <w:keepNext/>
        <w:spacing w:before="240"/>
        <w:ind w:left="851" w:hanging="851"/>
        <w:jc w:val="left"/>
      </w:pPr>
      <w:r>
        <w:t>6.0</w:t>
      </w:r>
      <w:r>
        <w:tab/>
      </w:r>
      <w:r w:rsidR="00791D7D">
        <w:t>What’s changed?</w:t>
      </w:r>
    </w:p>
    <w:p w14:paraId="751E7733" w14:textId="77777777" w:rsidR="0040041D" w:rsidRDefault="0040041D" w:rsidP="00253901">
      <w:pPr>
        <w:keepNext/>
        <w:ind w:left="851" w:hanging="851"/>
      </w:pPr>
    </w:p>
    <w:p w14:paraId="1D0785D7" w14:textId="77777777" w:rsidR="00791D7D" w:rsidRPr="00A518A4" w:rsidRDefault="00791D7D" w:rsidP="00253901">
      <w:pPr>
        <w:pStyle w:val="Default"/>
        <w:keepNext/>
        <w:ind w:left="851"/>
        <w:jc w:val="both"/>
        <w:rPr>
          <w:i/>
          <w:color w:val="auto"/>
        </w:rPr>
      </w:pPr>
      <w:r w:rsidRPr="00A518A4">
        <w:rPr>
          <w:i/>
          <w:color w:val="auto"/>
        </w:rPr>
        <w:t>Changes to National policy and requirements</w:t>
      </w:r>
    </w:p>
    <w:p w14:paraId="44A6420D" w14:textId="77777777" w:rsidR="00791D7D" w:rsidRPr="00A518A4" w:rsidRDefault="00791D7D" w:rsidP="00253901">
      <w:pPr>
        <w:pStyle w:val="Default"/>
        <w:keepNext/>
        <w:jc w:val="both"/>
        <w:rPr>
          <w:color w:val="auto"/>
        </w:rPr>
      </w:pPr>
    </w:p>
    <w:p w14:paraId="3940C85C" w14:textId="1BC9C410" w:rsidR="00791D7D" w:rsidRPr="00A518A4" w:rsidRDefault="00791D7D" w:rsidP="00791D7D">
      <w:pPr>
        <w:ind w:left="851" w:hanging="851"/>
      </w:pPr>
      <w:r>
        <w:t>6</w:t>
      </w:r>
      <w:r w:rsidRPr="00A518A4">
        <w:t>.1</w:t>
      </w:r>
      <w:r w:rsidRPr="00A518A4">
        <w:tab/>
        <w:t>The original National Planning Policy Framework (NPPF) was published in March 2012. The current Harrow Local Plan was considered to be in conformity with the NPPF 2012</w:t>
      </w:r>
      <w:r w:rsidR="00B61FA8">
        <w:rPr>
          <w:rStyle w:val="FootnoteReference"/>
        </w:rPr>
        <w:footnoteReference w:id="3"/>
      </w:r>
      <w:r w:rsidRPr="00A518A4">
        <w:t xml:space="preserve">. </w:t>
      </w:r>
    </w:p>
    <w:p w14:paraId="055350E2" w14:textId="77777777" w:rsidR="00791D7D" w:rsidRPr="00A518A4" w:rsidRDefault="00791D7D" w:rsidP="00791D7D">
      <w:pPr>
        <w:ind w:left="851" w:hanging="851"/>
      </w:pPr>
    </w:p>
    <w:p w14:paraId="6852B14F" w14:textId="7E298DFE" w:rsidR="00791D7D" w:rsidRPr="00A518A4" w:rsidRDefault="00D75425" w:rsidP="00791D7D">
      <w:pPr>
        <w:ind w:left="851" w:hanging="851"/>
      </w:pPr>
      <w:r>
        <w:t>6</w:t>
      </w:r>
      <w:r w:rsidR="00791D7D" w:rsidRPr="00A518A4">
        <w:t>.2</w:t>
      </w:r>
      <w:r w:rsidR="00791D7D" w:rsidRPr="00A518A4">
        <w:tab/>
        <w:t>The Government published a completely revised NPPF in July 2018 and made further amendments to it in February 2019</w:t>
      </w:r>
      <w:r>
        <w:t xml:space="preserve"> and </w:t>
      </w:r>
      <w:r w:rsidR="00037F08">
        <w:t>July 2021 (</w:t>
      </w:r>
      <w:r w:rsidR="0038220B">
        <w:t>the current version)</w:t>
      </w:r>
      <w:r w:rsidR="00791D7D" w:rsidRPr="00A518A4">
        <w:t xml:space="preserve">. </w:t>
      </w:r>
    </w:p>
    <w:p w14:paraId="47692147" w14:textId="77777777" w:rsidR="00791D7D" w:rsidRDefault="00791D7D" w:rsidP="00791D7D">
      <w:pPr>
        <w:ind w:left="851" w:hanging="851"/>
      </w:pPr>
    </w:p>
    <w:p w14:paraId="7DE1B4CA" w14:textId="1146378D" w:rsidR="0038220B" w:rsidRDefault="0038220B" w:rsidP="00791D7D">
      <w:pPr>
        <w:ind w:left="851" w:hanging="851"/>
      </w:pPr>
      <w:r>
        <w:t>6.3</w:t>
      </w:r>
      <w:r>
        <w:tab/>
        <w:t xml:space="preserve">As noted above, further changes are proposed to the NPPF and the </w:t>
      </w:r>
      <w:r w:rsidR="00A3392C">
        <w:t>new Local Plan will need to be cognisant of the potential implications of this.</w:t>
      </w:r>
      <w:r w:rsidR="001A42B6">
        <w:t xml:space="preserve"> Many of the proposed changes are intended to make the plan making process less difficult by reducing obligations on local planning authorities</w:t>
      </w:r>
      <w:r w:rsidR="006945E3">
        <w:t xml:space="preserve">. </w:t>
      </w:r>
    </w:p>
    <w:p w14:paraId="17C4211E" w14:textId="77777777" w:rsidR="00C02795" w:rsidRDefault="00C02795" w:rsidP="00791D7D">
      <w:pPr>
        <w:ind w:left="851" w:hanging="851"/>
      </w:pPr>
    </w:p>
    <w:p w14:paraId="14886BE0" w14:textId="268DAF04" w:rsidR="00C02795" w:rsidRDefault="00C02795" w:rsidP="00791D7D">
      <w:pPr>
        <w:ind w:left="851" w:hanging="851"/>
      </w:pPr>
      <w:r>
        <w:t>6.4</w:t>
      </w:r>
      <w:r>
        <w:tab/>
        <w:t xml:space="preserve">There have also been countless changes to statutory instruments </w:t>
      </w:r>
      <w:r w:rsidR="00DA3541">
        <w:t>and planning regulations. These include</w:t>
      </w:r>
      <w:r w:rsidR="00744349">
        <w:t xml:space="preserve"> </w:t>
      </w:r>
      <w:r w:rsidR="00DA3541">
        <w:t>the extension of permitted development rights (i.e. development that doesn’t require full planning permission)</w:t>
      </w:r>
      <w:r w:rsidR="005A7308">
        <w:t xml:space="preserve"> (</w:t>
      </w:r>
      <w:r w:rsidR="00744349">
        <w:t>a common example in Harrow being the</w:t>
      </w:r>
      <w:r w:rsidR="00C74378">
        <w:t xml:space="preserve"> change of use from office-to-residential</w:t>
      </w:r>
      <w:r w:rsidR="00744349">
        <w:t>)</w:t>
      </w:r>
      <w:r w:rsidR="0078111B">
        <w:t xml:space="preserve"> and a new Use Class Order that </w:t>
      </w:r>
      <w:r w:rsidR="00923365" w:rsidRPr="00A518A4">
        <w:rPr>
          <w:rFonts w:eastAsia="Arial"/>
          <w:szCs w:val="24"/>
        </w:rPr>
        <w:t>re-</w:t>
      </w:r>
      <w:r w:rsidR="00923365" w:rsidRPr="00A518A4">
        <w:rPr>
          <w:rFonts w:eastAsia="Arial"/>
          <w:szCs w:val="24"/>
        </w:rPr>
        <w:lastRenderedPageBreak/>
        <w:t>classif</w:t>
      </w:r>
      <w:r w:rsidR="00844905">
        <w:rPr>
          <w:rFonts w:eastAsia="Arial"/>
          <w:szCs w:val="24"/>
        </w:rPr>
        <w:t>ied</w:t>
      </w:r>
      <w:r w:rsidR="00923365" w:rsidRPr="00A518A4">
        <w:rPr>
          <w:rFonts w:eastAsia="Arial"/>
          <w:szCs w:val="24"/>
        </w:rPr>
        <w:t xml:space="preserve"> some of the uses, and / or include existing uses into other use classes</w:t>
      </w:r>
      <w:r w:rsidR="00406384">
        <w:rPr>
          <w:rFonts w:eastAsia="Arial"/>
          <w:szCs w:val="24"/>
        </w:rPr>
        <w:t>, impacting upon the current Plan’s ability to manage changes of use</w:t>
      </w:r>
      <w:r w:rsidR="00923365" w:rsidRPr="00A518A4">
        <w:rPr>
          <w:rFonts w:eastAsia="Arial"/>
          <w:szCs w:val="24"/>
        </w:rPr>
        <w:t xml:space="preserve">. The most notable change was the introduction of the E Use Class, which now incorporates </w:t>
      </w:r>
      <w:r w:rsidR="00F04B2A">
        <w:rPr>
          <w:rFonts w:eastAsia="Arial"/>
          <w:szCs w:val="24"/>
        </w:rPr>
        <w:t>many</w:t>
      </w:r>
      <w:r w:rsidR="00923365" w:rsidRPr="00A518A4">
        <w:rPr>
          <w:rFonts w:eastAsia="Arial"/>
          <w:szCs w:val="24"/>
        </w:rPr>
        <w:t xml:space="preserve"> of the previous classes within A Use Class (i.e. shops, financial and professional services, and restaurants and cafes), B1 (offices, research and development of products / processes, industrial processes) and parts of D1 (medical / health, creche, day nursery) and D2 (indoor sport, recreation or fitness) use classes</w:t>
      </w:r>
      <w:r w:rsidR="00764A4D">
        <w:rPr>
          <w:rFonts w:eastAsia="Arial"/>
          <w:szCs w:val="24"/>
        </w:rPr>
        <w:t xml:space="preserve">. </w:t>
      </w:r>
    </w:p>
    <w:p w14:paraId="2B72C2F6" w14:textId="77777777" w:rsidR="0038220B" w:rsidRDefault="0038220B" w:rsidP="00791D7D">
      <w:pPr>
        <w:ind w:left="851" w:hanging="851"/>
      </w:pPr>
    </w:p>
    <w:p w14:paraId="338FBC43" w14:textId="636BA162" w:rsidR="00764A4D" w:rsidRDefault="00067B9A" w:rsidP="00791D7D">
      <w:pPr>
        <w:ind w:left="851" w:hanging="851"/>
      </w:pPr>
      <w:r>
        <w:t>6.5</w:t>
      </w:r>
      <w:r>
        <w:tab/>
        <w:t>Environment and climate change provisions a</w:t>
      </w:r>
      <w:r w:rsidR="008909B2">
        <w:t xml:space="preserve">nd technology have changed significantly, with the introduction of legislation such as the Environment Act </w:t>
      </w:r>
      <w:r w:rsidR="00DE4743">
        <w:t xml:space="preserve">that </w:t>
      </w:r>
      <w:r w:rsidR="007F4121">
        <w:t>includes</w:t>
      </w:r>
      <w:r w:rsidR="00DE4743">
        <w:t xml:space="preserve"> new requirements relating to biodiversity net gain, nature recovery</w:t>
      </w:r>
      <w:r w:rsidR="002434A1">
        <w:t xml:space="preserve">, </w:t>
      </w:r>
      <w:r w:rsidR="008A6334">
        <w:t>air quality and waste reduction and resource efficiency.</w:t>
      </w:r>
    </w:p>
    <w:p w14:paraId="29A557BA" w14:textId="77777777" w:rsidR="009B5EFF" w:rsidRDefault="009B5EFF" w:rsidP="00791D7D">
      <w:pPr>
        <w:ind w:left="851" w:hanging="851"/>
      </w:pPr>
    </w:p>
    <w:p w14:paraId="2EB2711D" w14:textId="29F4B048" w:rsidR="009B5EFF" w:rsidRDefault="009B5EFF" w:rsidP="00791D7D">
      <w:pPr>
        <w:ind w:left="851" w:hanging="851"/>
      </w:pPr>
      <w:r>
        <w:t>6.6</w:t>
      </w:r>
      <w:r>
        <w:tab/>
        <w:t>Additionally, new requirements in relation to fire safety have been introduced in response to the Grenfell tragedy.</w:t>
      </w:r>
    </w:p>
    <w:p w14:paraId="57FBBDFE" w14:textId="77777777" w:rsidR="009B5EFF" w:rsidRDefault="009B5EFF" w:rsidP="00791D7D">
      <w:pPr>
        <w:ind w:left="851" w:hanging="851"/>
      </w:pPr>
    </w:p>
    <w:p w14:paraId="6E43EFCD" w14:textId="3EC4A18E" w:rsidR="008A65B4" w:rsidRPr="008A65B4" w:rsidRDefault="009B5EFF" w:rsidP="008A65B4">
      <w:pPr>
        <w:ind w:left="851" w:hanging="851"/>
      </w:pPr>
      <w:r>
        <w:t>6.7</w:t>
      </w:r>
      <w:r>
        <w:tab/>
        <w:t xml:space="preserve">Further changes are proposed through </w:t>
      </w:r>
      <w:r w:rsidR="008A65B4">
        <w:t>t</w:t>
      </w:r>
      <w:r w:rsidR="008A65B4" w:rsidRPr="008A65B4">
        <w:t xml:space="preserve">he Levelling up and Regeneration Bill and the Planning and Infrastructure Bill. The </w:t>
      </w:r>
      <w:r w:rsidR="00B71A15">
        <w:t xml:space="preserve">Local Development Scheme (LDS) </w:t>
      </w:r>
      <w:r w:rsidR="009C6BE5">
        <w:t xml:space="preserve">report </w:t>
      </w:r>
      <w:r w:rsidR="00B71A15">
        <w:t xml:space="preserve">considered by the Panel at its meeting on 9 January 2023 provided a summary of </w:t>
      </w:r>
      <w:r w:rsidR="0092508E">
        <w:t>these bills and the potential risk</w:t>
      </w:r>
      <w:r w:rsidR="008E7019">
        <w:t>s</w:t>
      </w:r>
      <w:r w:rsidR="0092508E">
        <w:t xml:space="preserve"> to the </w:t>
      </w:r>
      <w:r w:rsidR="008E7019">
        <w:t>local plan timetable</w:t>
      </w:r>
      <w:r w:rsidR="00B565A9">
        <w:rPr>
          <w:rStyle w:val="FootnoteReference"/>
        </w:rPr>
        <w:footnoteReference w:id="4"/>
      </w:r>
      <w:r w:rsidR="008E7019">
        <w:t>.</w:t>
      </w:r>
    </w:p>
    <w:p w14:paraId="76D1F66D" w14:textId="77777777" w:rsidR="00AB304C" w:rsidRDefault="00AB304C" w:rsidP="00791D7D">
      <w:pPr>
        <w:ind w:left="851" w:hanging="851"/>
      </w:pPr>
    </w:p>
    <w:p w14:paraId="24CFF4DB" w14:textId="77777777" w:rsidR="00AB304C" w:rsidRPr="008E7019" w:rsidRDefault="00AB304C" w:rsidP="008E7019">
      <w:pPr>
        <w:pStyle w:val="Default"/>
        <w:keepNext/>
        <w:ind w:left="851"/>
        <w:jc w:val="both"/>
        <w:rPr>
          <w:i/>
          <w:color w:val="auto"/>
        </w:rPr>
      </w:pPr>
      <w:r w:rsidRPr="008E7019">
        <w:rPr>
          <w:i/>
          <w:color w:val="auto"/>
        </w:rPr>
        <w:t>London Plan 2021</w:t>
      </w:r>
    </w:p>
    <w:p w14:paraId="58F1370B" w14:textId="77777777" w:rsidR="00AB304C" w:rsidRPr="00AB304C" w:rsidRDefault="00AB304C" w:rsidP="00D32D9C">
      <w:pPr>
        <w:keepNext/>
        <w:ind w:left="851" w:hanging="851"/>
      </w:pPr>
    </w:p>
    <w:p w14:paraId="38D997C2" w14:textId="0BB2146B" w:rsidR="00AB304C" w:rsidRPr="00AB304C" w:rsidRDefault="003E4860" w:rsidP="00AB304C">
      <w:pPr>
        <w:ind w:left="851" w:hanging="851"/>
      </w:pPr>
      <w:r>
        <w:t>6</w:t>
      </w:r>
      <w:r w:rsidR="00AB304C" w:rsidRPr="00AB304C">
        <w:t>.</w:t>
      </w:r>
      <w:r>
        <w:t>8</w:t>
      </w:r>
      <w:r w:rsidR="00AB304C" w:rsidRPr="00AB304C">
        <w:tab/>
      </w:r>
      <w:r>
        <w:t>As noted above, t</w:t>
      </w:r>
      <w:r w:rsidR="00AB304C" w:rsidRPr="00AB304C">
        <w:t xml:space="preserve">he London Plan (2021) </w:t>
      </w:r>
      <w:r>
        <w:t>was</w:t>
      </w:r>
      <w:r w:rsidR="00AB304C" w:rsidRPr="00AB304C">
        <w:t xml:space="preserve"> published </w:t>
      </w:r>
      <w:r>
        <w:t xml:space="preserve">in March 2021 </w:t>
      </w:r>
      <w:r w:rsidR="00AB304C" w:rsidRPr="00AB304C">
        <w:t>and replace</w:t>
      </w:r>
      <w:r>
        <w:t>d</w:t>
      </w:r>
      <w:r w:rsidR="00AB304C" w:rsidRPr="00AB304C">
        <w:t xml:space="preserve"> the previous version which was amended in 2016</w:t>
      </w:r>
      <w:r>
        <w:t xml:space="preserve"> (the current Local Plan was prepared under the 2011 version of the London Plan</w:t>
      </w:r>
      <w:r w:rsidR="00002686">
        <w:t>)</w:t>
      </w:r>
      <w:r w:rsidR="00AB304C" w:rsidRPr="00AB304C">
        <w:t>. Any review of the Harrow Local Plan must be in ‘general conformity’ with the London Plan (2021).</w:t>
      </w:r>
    </w:p>
    <w:p w14:paraId="0E9FC37F" w14:textId="77777777" w:rsidR="00AB304C" w:rsidRPr="00AB304C" w:rsidRDefault="00AB304C" w:rsidP="00AB304C">
      <w:pPr>
        <w:ind w:left="851" w:hanging="851"/>
      </w:pPr>
    </w:p>
    <w:p w14:paraId="221BA6B2" w14:textId="47861681" w:rsidR="00AB304C" w:rsidRPr="00AB304C" w:rsidRDefault="00935B9C" w:rsidP="008C2514">
      <w:pPr>
        <w:keepNext/>
        <w:ind w:left="851" w:hanging="851"/>
      </w:pPr>
      <w:r>
        <w:t>6.9</w:t>
      </w:r>
      <w:r w:rsidR="00AB304C" w:rsidRPr="00AB304C">
        <w:tab/>
      </w:r>
      <w:r w:rsidR="00422F59">
        <w:t>The</w:t>
      </w:r>
      <w:r w:rsidR="00AB304C" w:rsidRPr="00AB304C">
        <w:t xml:space="preserve"> following are considered key policies in the London Plan (2021) which will need to be reflected or addressed in the Harrow Local Plan:</w:t>
      </w:r>
    </w:p>
    <w:p w14:paraId="19D6C00D" w14:textId="77777777" w:rsidR="00AB304C" w:rsidRPr="00AB304C" w:rsidRDefault="00AB304C" w:rsidP="008C2514">
      <w:pPr>
        <w:keepNext/>
        <w:ind w:left="851" w:hanging="851"/>
      </w:pPr>
    </w:p>
    <w:p w14:paraId="5E926DD7" w14:textId="77777777" w:rsidR="00AB304C" w:rsidRPr="00A518A4" w:rsidRDefault="00AB304C" w:rsidP="00C8478B">
      <w:pPr>
        <w:numPr>
          <w:ilvl w:val="0"/>
          <w:numId w:val="16"/>
        </w:numPr>
        <w:ind w:left="1418" w:hanging="567"/>
      </w:pPr>
      <w:r w:rsidRPr="00A518A4">
        <w:t>Identifying sufficient additional housing capacity to reflect the increase in Harrow’s 10-year housing target from 5,930 homes to 8,020 homes, including the small sites target of 3,750 homes (small sites are those less than 0.25 hectares).</w:t>
      </w:r>
    </w:p>
    <w:p w14:paraId="328CB702" w14:textId="77777777" w:rsidR="00AB304C" w:rsidRPr="00A518A4" w:rsidRDefault="00AB304C" w:rsidP="00C8478B">
      <w:pPr>
        <w:numPr>
          <w:ilvl w:val="0"/>
          <w:numId w:val="16"/>
        </w:numPr>
        <w:ind w:left="1418" w:hanging="567"/>
      </w:pPr>
      <w:r w:rsidRPr="00A518A4">
        <w:t>Identifying areas within the borough considered suitable for suburban intensification (namely through development on small sites).</w:t>
      </w:r>
    </w:p>
    <w:p w14:paraId="5B55A2C3" w14:textId="77777777" w:rsidR="00AB304C" w:rsidRPr="00A518A4" w:rsidRDefault="00AB304C" w:rsidP="00C8478B">
      <w:pPr>
        <w:numPr>
          <w:ilvl w:val="0"/>
          <w:numId w:val="16"/>
        </w:numPr>
        <w:ind w:left="1418" w:hanging="567"/>
      </w:pPr>
      <w:r w:rsidRPr="00A518A4">
        <w:t xml:space="preserve">A design led approach to determining site density, rather than applying a density matrix. </w:t>
      </w:r>
    </w:p>
    <w:p w14:paraId="7F520746" w14:textId="77777777" w:rsidR="00AB304C" w:rsidRPr="00A518A4" w:rsidRDefault="00AB304C" w:rsidP="00C8478B">
      <w:pPr>
        <w:numPr>
          <w:ilvl w:val="0"/>
          <w:numId w:val="16"/>
        </w:numPr>
        <w:ind w:left="1418" w:hanging="567"/>
      </w:pPr>
      <w:r w:rsidRPr="00A518A4">
        <w:t>Defining what constitutes a tall building/s within the borough and identifying areas within the borough that maybe suitable for such buildings.</w:t>
      </w:r>
    </w:p>
    <w:p w14:paraId="08EE12FA" w14:textId="77777777" w:rsidR="00AB304C" w:rsidRPr="00A518A4" w:rsidRDefault="00AB304C" w:rsidP="00C8478B">
      <w:pPr>
        <w:numPr>
          <w:ilvl w:val="0"/>
          <w:numId w:val="16"/>
        </w:numPr>
        <w:ind w:left="1418" w:hanging="567"/>
      </w:pPr>
      <w:r w:rsidRPr="00A518A4">
        <w:lastRenderedPageBreak/>
        <w:t xml:space="preserve">The Mayor’s threshold approach to affordable housing financial viability assessments and local flexibility with respect to affordable housing tenures. </w:t>
      </w:r>
    </w:p>
    <w:p w14:paraId="305AAEC1" w14:textId="77777777" w:rsidR="00AB304C" w:rsidRDefault="00AB304C" w:rsidP="00C8478B">
      <w:pPr>
        <w:numPr>
          <w:ilvl w:val="0"/>
          <w:numId w:val="16"/>
        </w:numPr>
        <w:ind w:left="1418" w:hanging="567"/>
      </w:pPr>
      <w:r w:rsidRPr="00A518A4">
        <w:t xml:space="preserve">Identifying potential areas for industrial intensification and mixed-use development. Greater protection for industrial land including non-designated industrial land. </w:t>
      </w:r>
    </w:p>
    <w:p w14:paraId="11D3FA5F" w14:textId="7B147E51" w:rsidR="00C53CBC" w:rsidRPr="00A518A4" w:rsidRDefault="00C53CBC" w:rsidP="00C8478B">
      <w:pPr>
        <w:numPr>
          <w:ilvl w:val="0"/>
          <w:numId w:val="16"/>
        </w:numPr>
        <w:ind w:left="1418" w:hanging="567"/>
      </w:pPr>
      <w:r>
        <w:t>Responding to climate changes, including zero carbon development</w:t>
      </w:r>
      <w:r w:rsidR="00B64F9A">
        <w:t>.</w:t>
      </w:r>
    </w:p>
    <w:p w14:paraId="21EEE2DA" w14:textId="77777777" w:rsidR="00AB304C" w:rsidRPr="00A518A4" w:rsidRDefault="00AB304C" w:rsidP="00C8478B">
      <w:pPr>
        <w:numPr>
          <w:ilvl w:val="0"/>
          <w:numId w:val="16"/>
        </w:numPr>
        <w:ind w:left="1418" w:hanging="567"/>
      </w:pPr>
      <w:r w:rsidRPr="00A518A4">
        <w:t>Determining infrastructure requirements arising from the projected population increase in the borough and the geographic spread of new housing and identifying potential locations to accommodate this new infrastructure.</w:t>
      </w:r>
    </w:p>
    <w:p w14:paraId="64819CA2" w14:textId="77777777" w:rsidR="00AB304C" w:rsidRPr="00AB304C" w:rsidRDefault="00AB304C" w:rsidP="00AB304C">
      <w:pPr>
        <w:ind w:left="851" w:hanging="851"/>
      </w:pPr>
    </w:p>
    <w:p w14:paraId="2C3062AE" w14:textId="7C05B61A" w:rsidR="00AB304C" w:rsidRPr="00AB304C" w:rsidRDefault="005D03DC" w:rsidP="00AB304C">
      <w:pPr>
        <w:ind w:left="851" w:hanging="851"/>
      </w:pPr>
      <w:r>
        <w:t>6.10</w:t>
      </w:r>
      <w:r w:rsidR="00AB304C" w:rsidRPr="00AB304C">
        <w:tab/>
        <w:t>The new London Plan will be considered in more detail when specific aspects of the draft Local Plan / review are considered. The above is intended to provide key headline considerations by way of background.</w:t>
      </w:r>
    </w:p>
    <w:p w14:paraId="252C0531" w14:textId="77777777" w:rsidR="00AB304C" w:rsidRDefault="00AB304C" w:rsidP="00791D7D">
      <w:pPr>
        <w:ind w:left="851" w:hanging="851"/>
      </w:pPr>
    </w:p>
    <w:p w14:paraId="01F2D91C" w14:textId="7D1F79FC" w:rsidR="00435CB2" w:rsidRPr="00772CB6" w:rsidRDefault="00CB3F0E" w:rsidP="005D3207">
      <w:pPr>
        <w:pStyle w:val="Default"/>
        <w:keepNext/>
        <w:ind w:left="851"/>
        <w:jc w:val="both"/>
        <w:rPr>
          <w:i/>
          <w:iCs/>
        </w:rPr>
      </w:pPr>
      <w:r w:rsidRPr="00772CB6">
        <w:rPr>
          <w:i/>
          <w:iCs/>
        </w:rPr>
        <w:t>Harrow Evidence Base</w:t>
      </w:r>
    </w:p>
    <w:p w14:paraId="284B44F5" w14:textId="77777777" w:rsidR="00435CB2" w:rsidRDefault="00435CB2" w:rsidP="005D3207">
      <w:pPr>
        <w:keepNext/>
        <w:ind w:left="851" w:hanging="851"/>
      </w:pPr>
    </w:p>
    <w:p w14:paraId="3F710D6C" w14:textId="31471469" w:rsidR="00772CB6" w:rsidRPr="00A518A4" w:rsidRDefault="00772CB6" w:rsidP="00772CB6">
      <w:pPr>
        <w:ind w:left="851" w:hanging="851"/>
        <w:rPr>
          <w:rFonts w:cs="Arial"/>
        </w:rPr>
      </w:pPr>
      <w:r>
        <w:rPr>
          <w:rFonts w:cs="Arial"/>
        </w:rPr>
        <w:t>6.11</w:t>
      </w:r>
      <w:r w:rsidRPr="00772CB6">
        <w:tab/>
        <w:t>The NPPF</w:t>
      </w:r>
      <w:r w:rsidRPr="00772CB6">
        <w:rPr>
          <w:vertAlign w:val="superscript"/>
        </w:rPr>
        <w:footnoteReference w:id="5"/>
      </w:r>
      <w:r w:rsidRPr="00772CB6">
        <w:t xml:space="preserve"> requires that Local Plans are based on adequate up-to-date and relevant evidence about the economic, social and environmental characteristics and prospects of the area. Much of Harrow’s evidence base was prepared prior to the adoption on the current Local Plan documents and therefore many aspects of it are arguably out-of-date.</w:t>
      </w:r>
    </w:p>
    <w:p w14:paraId="6F1CC584" w14:textId="77777777" w:rsidR="00772CB6" w:rsidRPr="00A518A4" w:rsidRDefault="00772CB6" w:rsidP="00772CB6">
      <w:pPr>
        <w:ind w:left="851" w:hanging="851"/>
        <w:rPr>
          <w:rFonts w:cs="Arial"/>
        </w:rPr>
      </w:pPr>
    </w:p>
    <w:p w14:paraId="3DD25EA0" w14:textId="673FD865" w:rsidR="00772CB6" w:rsidRPr="00A518A4" w:rsidRDefault="00772CB6" w:rsidP="005F0FA0">
      <w:pPr>
        <w:keepNext/>
        <w:ind w:left="851" w:hanging="851"/>
        <w:rPr>
          <w:rFonts w:cs="Arial"/>
        </w:rPr>
      </w:pPr>
      <w:r>
        <w:rPr>
          <w:rFonts w:cs="Arial"/>
        </w:rPr>
        <w:t>6.12</w:t>
      </w:r>
      <w:r w:rsidRPr="00A518A4">
        <w:rPr>
          <w:rFonts w:cs="Arial"/>
        </w:rPr>
        <w:tab/>
      </w:r>
      <w:r w:rsidRPr="00772CB6">
        <w:t>The recent focus of work on the Local Plan review has therefore been on updating the Council’s evidence base work, with the following work completed or in the process of being undertaken:</w:t>
      </w:r>
    </w:p>
    <w:p w14:paraId="43C6DF4B" w14:textId="77777777" w:rsidR="00772CB6" w:rsidRPr="00A518A4" w:rsidRDefault="00772CB6" w:rsidP="005F0FA0">
      <w:pPr>
        <w:keepNext/>
        <w:ind w:left="851" w:hanging="851"/>
      </w:pPr>
    </w:p>
    <w:p w14:paraId="49B41ED7" w14:textId="77777777" w:rsidR="00ED4EBD" w:rsidRPr="00C8478B" w:rsidRDefault="00ED4EBD" w:rsidP="005F0FA0">
      <w:pPr>
        <w:pStyle w:val="Default"/>
        <w:keepNext/>
        <w:ind w:left="851"/>
        <w:jc w:val="both"/>
        <w:rPr>
          <w:i/>
          <w:iCs/>
        </w:rPr>
      </w:pPr>
      <w:r w:rsidRPr="00C8478B">
        <w:rPr>
          <w:i/>
          <w:iCs/>
        </w:rPr>
        <w:t>Completed</w:t>
      </w:r>
    </w:p>
    <w:p w14:paraId="1E100702" w14:textId="77777777" w:rsidR="00ED4EBD" w:rsidRPr="004735E2" w:rsidRDefault="00ED4EBD" w:rsidP="005F0FA0">
      <w:pPr>
        <w:keepNext/>
        <w:ind w:left="567" w:hanging="567"/>
        <w:rPr>
          <w:rFonts w:cs="Arial"/>
        </w:rPr>
      </w:pPr>
    </w:p>
    <w:p w14:paraId="074307E9" w14:textId="6144E586" w:rsidR="00ED4EBD" w:rsidRPr="004735E2" w:rsidRDefault="00ED4EBD" w:rsidP="00C8478B">
      <w:pPr>
        <w:ind w:left="1418" w:hanging="567"/>
        <w:rPr>
          <w:rFonts w:cs="Arial"/>
        </w:rPr>
      </w:pPr>
      <w:r w:rsidRPr="004735E2">
        <w:rPr>
          <w:rFonts w:cs="Arial"/>
        </w:rPr>
        <w:t>(a)</w:t>
      </w:r>
      <w:r w:rsidRPr="004735E2">
        <w:rPr>
          <w:rFonts w:cs="Arial"/>
        </w:rPr>
        <w:tab/>
        <w:t>Harrow Economic Development Needs Assessment (EDNA) (July 2017)</w:t>
      </w:r>
    </w:p>
    <w:p w14:paraId="73A9326F" w14:textId="563FB1A7" w:rsidR="00ED4EBD" w:rsidRPr="004735E2" w:rsidRDefault="00ED4EBD" w:rsidP="00C8478B">
      <w:pPr>
        <w:ind w:left="1418" w:hanging="567"/>
        <w:rPr>
          <w:rFonts w:cs="Arial"/>
        </w:rPr>
      </w:pPr>
      <w:r w:rsidRPr="004735E2">
        <w:rPr>
          <w:rFonts w:cs="Arial"/>
        </w:rPr>
        <w:t>(b)</w:t>
      </w:r>
      <w:r w:rsidRPr="004735E2">
        <w:rPr>
          <w:rFonts w:cs="Arial"/>
        </w:rPr>
        <w:tab/>
        <w:t xml:space="preserve">West London Strategic Flood Risk Assessment (April 2018, updated as required as </w:t>
      </w:r>
      <w:r w:rsidR="005F0FA0">
        <w:rPr>
          <w:rFonts w:cs="Arial"/>
        </w:rPr>
        <w:t xml:space="preserve">dynamic </w:t>
      </w:r>
      <w:r w:rsidRPr="004735E2">
        <w:rPr>
          <w:rFonts w:cs="Arial"/>
        </w:rPr>
        <w:t>online</w:t>
      </w:r>
      <w:r w:rsidR="005F0FA0">
        <w:rPr>
          <w:rFonts w:cs="Arial"/>
        </w:rPr>
        <w:t xml:space="preserve"> document</w:t>
      </w:r>
      <w:r w:rsidRPr="004735E2">
        <w:rPr>
          <w:rFonts w:cs="Arial"/>
        </w:rPr>
        <w:t xml:space="preserve">) </w:t>
      </w:r>
    </w:p>
    <w:p w14:paraId="3D00C03D" w14:textId="51BCA761" w:rsidR="00ED4EBD" w:rsidRPr="004735E2" w:rsidRDefault="00ED4EBD" w:rsidP="00C8478B">
      <w:pPr>
        <w:ind w:left="1418" w:hanging="567"/>
        <w:rPr>
          <w:rFonts w:cs="Arial"/>
        </w:rPr>
      </w:pPr>
      <w:r w:rsidRPr="004735E2">
        <w:rPr>
          <w:rFonts w:cs="Arial"/>
        </w:rPr>
        <w:t>(c)</w:t>
      </w:r>
      <w:r w:rsidRPr="004735E2">
        <w:rPr>
          <w:rFonts w:cs="Arial"/>
        </w:rPr>
        <w:tab/>
        <w:t xml:space="preserve">Harrow Strategic Housing Market Assessment (SHMA) and West London Strategic Housing Market Assessment </w:t>
      </w:r>
      <w:r w:rsidR="009636DB" w:rsidRPr="004735E2">
        <w:rPr>
          <w:rFonts w:cs="Arial"/>
        </w:rPr>
        <w:t xml:space="preserve">(August 2018) </w:t>
      </w:r>
    </w:p>
    <w:p w14:paraId="6914D7AB" w14:textId="46F36BEB" w:rsidR="00ED4EBD" w:rsidRPr="004735E2" w:rsidRDefault="00ED4EBD" w:rsidP="00C8478B">
      <w:pPr>
        <w:ind w:left="1418" w:hanging="567"/>
        <w:rPr>
          <w:rFonts w:cs="Arial"/>
        </w:rPr>
      </w:pPr>
      <w:r w:rsidRPr="004735E2">
        <w:rPr>
          <w:rFonts w:cs="Arial"/>
        </w:rPr>
        <w:t>(d)</w:t>
      </w:r>
      <w:r w:rsidRPr="004735E2">
        <w:rPr>
          <w:rFonts w:cs="Arial"/>
        </w:rPr>
        <w:tab/>
        <w:t xml:space="preserve">West London Gypsy, Traveller and Travelling Showpeople Accommodation Assessment </w:t>
      </w:r>
      <w:r w:rsidR="009636DB" w:rsidRPr="004735E2">
        <w:rPr>
          <w:rFonts w:cs="Arial"/>
        </w:rPr>
        <w:t xml:space="preserve">(August 2018) </w:t>
      </w:r>
    </w:p>
    <w:p w14:paraId="5D2C6CB2" w14:textId="75D4B628" w:rsidR="00ED4EBD" w:rsidRPr="004735E2" w:rsidRDefault="00ED4EBD" w:rsidP="00C8478B">
      <w:pPr>
        <w:ind w:left="1418" w:hanging="567"/>
        <w:rPr>
          <w:rFonts w:cs="Arial"/>
        </w:rPr>
      </w:pPr>
      <w:r w:rsidRPr="004735E2">
        <w:rPr>
          <w:rFonts w:cs="Arial"/>
        </w:rPr>
        <w:t>(e)</w:t>
      </w:r>
      <w:r w:rsidRPr="004735E2">
        <w:rPr>
          <w:rFonts w:cs="Arial"/>
        </w:rPr>
        <w:tab/>
        <w:t xml:space="preserve">West London Small Sites Strategic Housing Land Availability Assessment </w:t>
      </w:r>
      <w:r w:rsidR="009636DB" w:rsidRPr="004735E2">
        <w:rPr>
          <w:rFonts w:cs="Arial"/>
        </w:rPr>
        <w:t xml:space="preserve">(December 2018) </w:t>
      </w:r>
    </w:p>
    <w:p w14:paraId="61A8A1B5" w14:textId="389D89D4" w:rsidR="00ED4EBD" w:rsidRPr="004735E2" w:rsidRDefault="00ED4EBD" w:rsidP="00C8478B">
      <w:pPr>
        <w:ind w:left="1418" w:hanging="567"/>
        <w:rPr>
          <w:rFonts w:cs="Arial"/>
        </w:rPr>
      </w:pPr>
      <w:r w:rsidRPr="004735E2">
        <w:rPr>
          <w:rFonts w:cs="Arial"/>
        </w:rPr>
        <w:t>(f)</w:t>
      </w:r>
      <w:r w:rsidRPr="004735E2">
        <w:rPr>
          <w:rFonts w:cs="Arial"/>
        </w:rPr>
        <w:tab/>
        <w:t xml:space="preserve">West London Employment Land Evidence </w:t>
      </w:r>
      <w:r w:rsidR="009636DB" w:rsidRPr="004735E2">
        <w:rPr>
          <w:rFonts w:cs="Arial"/>
        </w:rPr>
        <w:t xml:space="preserve">(July 2019) </w:t>
      </w:r>
    </w:p>
    <w:p w14:paraId="1D508F9F" w14:textId="6C6DBAAC" w:rsidR="00ED4EBD" w:rsidRPr="004735E2" w:rsidRDefault="00ED4EBD" w:rsidP="00C8478B">
      <w:pPr>
        <w:ind w:left="1418" w:hanging="567"/>
        <w:rPr>
          <w:rFonts w:cs="Arial"/>
        </w:rPr>
      </w:pPr>
      <w:r w:rsidRPr="004735E2">
        <w:rPr>
          <w:rFonts w:cs="Arial"/>
        </w:rPr>
        <w:t>(g)</w:t>
      </w:r>
      <w:r w:rsidRPr="004735E2">
        <w:rPr>
          <w:rFonts w:cs="Arial"/>
        </w:rPr>
        <w:tab/>
        <w:t xml:space="preserve">West London Affordable Workspace Study </w:t>
      </w:r>
      <w:r w:rsidR="009636DB" w:rsidRPr="004735E2">
        <w:rPr>
          <w:rFonts w:cs="Arial"/>
        </w:rPr>
        <w:t>(</w:t>
      </w:r>
      <w:r w:rsidR="00F44755" w:rsidRPr="004735E2">
        <w:rPr>
          <w:rFonts w:cs="Arial"/>
        </w:rPr>
        <w:t xml:space="preserve">early 2021) </w:t>
      </w:r>
    </w:p>
    <w:p w14:paraId="73954609" w14:textId="32B417D7" w:rsidR="00ED4EBD" w:rsidRPr="004735E2" w:rsidRDefault="00ED4EBD" w:rsidP="00C8478B">
      <w:pPr>
        <w:ind w:left="1418" w:hanging="567"/>
        <w:rPr>
          <w:rFonts w:cs="Arial"/>
        </w:rPr>
      </w:pPr>
      <w:r w:rsidRPr="004735E2">
        <w:rPr>
          <w:rFonts w:cs="Arial"/>
        </w:rPr>
        <w:t>(h)</w:t>
      </w:r>
      <w:r w:rsidRPr="004735E2">
        <w:rPr>
          <w:rFonts w:cs="Arial"/>
        </w:rPr>
        <w:tab/>
        <w:t>Harrow Small Sites Capacity Study</w:t>
      </w:r>
      <w:r w:rsidR="00F44755" w:rsidRPr="004735E2">
        <w:rPr>
          <w:rFonts w:cs="Arial"/>
        </w:rPr>
        <w:t xml:space="preserve"> (2022)</w:t>
      </w:r>
    </w:p>
    <w:p w14:paraId="3B17B0A0" w14:textId="7C3EF144" w:rsidR="00ED4EBD" w:rsidRPr="004735E2" w:rsidRDefault="00ED4EBD" w:rsidP="00C8478B">
      <w:pPr>
        <w:ind w:left="1418" w:hanging="567"/>
        <w:rPr>
          <w:rFonts w:cs="Arial"/>
        </w:rPr>
      </w:pPr>
      <w:r w:rsidRPr="004735E2">
        <w:rPr>
          <w:rFonts w:cs="Arial"/>
        </w:rPr>
        <w:t>(i)</w:t>
      </w:r>
      <w:r w:rsidRPr="004735E2">
        <w:rPr>
          <w:rFonts w:cs="Arial"/>
        </w:rPr>
        <w:tab/>
        <w:t xml:space="preserve">Characterisation Study for Harrow (including identification of areas suitable for tall and taller buildings) </w:t>
      </w:r>
      <w:r w:rsidR="00F44755" w:rsidRPr="004735E2">
        <w:rPr>
          <w:rFonts w:cs="Arial"/>
        </w:rPr>
        <w:t>(</w:t>
      </w:r>
      <w:r w:rsidR="00884628">
        <w:rPr>
          <w:rFonts w:cs="Arial"/>
        </w:rPr>
        <w:t>August 2021</w:t>
      </w:r>
      <w:r w:rsidR="00F44755" w:rsidRPr="004735E2">
        <w:rPr>
          <w:rFonts w:cs="Arial"/>
        </w:rPr>
        <w:t>)</w:t>
      </w:r>
      <w:r w:rsidRPr="004735E2">
        <w:rPr>
          <w:rFonts w:cs="Arial"/>
        </w:rPr>
        <w:t xml:space="preserve"> </w:t>
      </w:r>
    </w:p>
    <w:p w14:paraId="497B7182" w14:textId="0BDD3CA3" w:rsidR="00ED4EBD" w:rsidRPr="004735E2" w:rsidRDefault="00ED4EBD" w:rsidP="00C8478B">
      <w:pPr>
        <w:ind w:left="1418" w:hanging="567"/>
        <w:rPr>
          <w:rFonts w:cs="Arial"/>
        </w:rPr>
      </w:pPr>
      <w:r w:rsidRPr="004735E2">
        <w:rPr>
          <w:rFonts w:cs="Arial"/>
        </w:rPr>
        <w:t>(</w:t>
      </w:r>
      <w:r w:rsidR="00205646" w:rsidRPr="004735E2">
        <w:rPr>
          <w:rFonts w:cs="Arial"/>
        </w:rPr>
        <w:t>j</w:t>
      </w:r>
      <w:r w:rsidRPr="004735E2">
        <w:rPr>
          <w:rFonts w:cs="Arial"/>
        </w:rPr>
        <w:t>)</w:t>
      </w:r>
      <w:r w:rsidRPr="004735E2">
        <w:rPr>
          <w:rFonts w:cs="Arial"/>
        </w:rPr>
        <w:tab/>
        <w:t xml:space="preserve">West London Strategic Infrastructure Delivery Plan </w:t>
      </w:r>
      <w:r w:rsidR="00205646" w:rsidRPr="004735E2">
        <w:rPr>
          <w:rFonts w:cs="Arial"/>
        </w:rPr>
        <w:t>(</w:t>
      </w:r>
      <w:r w:rsidR="00602FD8">
        <w:rPr>
          <w:rFonts w:cs="Arial"/>
        </w:rPr>
        <w:t>March 2022</w:t>
      </w:r>
      <w:r w:rsidR="00205646" w:rsidRPr="004735E2">
        <w:rPr>
          <w:rFonts w:cs="Arial"/>
        </w:rPr>
        <w:t>)</w:t>
      </w:r>
    </w:p>
    <w:p w14:paraId="0B6CE463" w14:textId="77777777" w:rsidR="00205646" w:rsidRPr="004735E2" w:rsidRDefault="00205646" w:rsidP="00ED4EBD">
      <w:pPr>
        <w:ind w:left="1134" w:hanging="567"/>
        <w:rPr>
          <w:rFonts w:cs="Arial"/>
        </w:rPr>
      </w:pPr>
    </w:p>
    <w:p w14:paraId="5B62C728" w14:textId="13565D61" w:rsidR="00205646" w:rsidRPr="004735E2" w:rsidRDefault="00205646" w:rsidP="004735E2">
      <w:pPr>
        <w:pStyle w:val="Default"/>
        <w:keepNext/>
        <w:ind w:left="851"/>
        <w:jc w:val="both"/>
        <w:rPr>
          <w:i/>
          <w:iCs/>
        </w:rPr>
      </w:pPr>
      <w:r w:rsidRPr="004735E2">
        <w:rPr>
          <w:i/>
          <w:iCs/>
        </w:rPr>
        <w:t>Current</w:t>
      </w:r>
    </w:p>
    <w:p w14:paraId="1FBE5A6D" w14:textId="77777777" w:rsidR="00ED4EBD" w:rsidRPr="004735E2" w:rsidRDefault="00ED4EBD" w:rsidP="004735E2">
      <w:pPr>
        <w:keepNext/>
        <w:ind w:left="567" w:hanging="567"/>
        <w:rPr>
          <w:rFonts w:cs="Arial"/>
          <w:i/>
          <w:iCs/>
        </w:rPr>
      </w:pPr>
    </w:p>
    <w:p w14:paraId="011D7941" w14:textId="07437481" w:rsidR="00ED4EBD" w:rsidRPr="004735E2" w:rsidRDefault="00ED4EBD" w:rsidP="00C8478B">
      <w:pPr>
        <w:ind w:left="1418" w:hanging="567"/>
        <w:rPr>
          <w:rFonts w:cs="Arial"/>
        </w:rPr>
      </w:pPr>
      <w:r w:rsidRPr="004735E2">
        <w:rPr>
          <w:rFonts w:cs="Arial"/>
        </w:rPr>
        <w:t>(</w:t>
      </w:r>
      <w:r w:rsidR="00205646" w:rsidRPr="004735E2">
        <w:rPr>
          <w:rFonts w:cs="Arial"/>
        </w:rPr>
        <w:t>k</w:t>
      </w:r>
      <w:r w:rsidRPr="004735E2">
        <w:rPr>
          <w:rFonts w:cs="Arial"/>
        </w:rPr>
        <w:t>)</w:t>
      </w:r>
      <w:r w:rsidRPr="004735E2">
        <w:rPr>
          <w:rFonts w:cs="Arial"/>
        </w:rPr>
        <w:tab/>
        <w:t xml:space="preserve">West London ‘E Use Class’ Study </w:t>
      </w:r>
      <w:r w:rsidR="00956F51" w:rsidRPr="004735E2">
        <w:rPr>
          <w:rFonts w:cs="Arial"/>
        </w:rPr>
        <w:t>(anticipated mid-2023)</w:t>
      </w:r>
    </w:p>
    <w:p w14:paraId="29CE968F" w14:textId="06C4908E" w:rsidR="00205646" w:rsidRPr="004735E2" w:rsidRDefault="00205646" w:rsidP="00C8478B">
      <w:pPr>
        <w:ind w:left="1418" w:hanging="567"/>
        <w:rPr>
          <w:rFonts w:cs="Arial"/>
        </w:rPr>
      </w:pPr>
      <w:r w:rsidRPr="004735E2">
        <w:rPr>
          <w:rFonts w:cs="Arial"/>
        </w:rPr>
        <w:t>(</w:t>
      </w:r>
      <w:r w:rsidR="00956F51" w:rsidRPr="004735E2">
        <w:rPr>
          <w:rFonts w:cs="Arial"/>
        </w:rPr>
        <w:t>l)</w:t>
      </w:r>
      <w:r w:rsidR="00956F51" w:rsidRPr="004735E2">
        <w:rPr>
          <w:rFonts w:cs="Arial"/>
        </w:rPr>
        <w:tab/>
        <w:t xml:space="preserve">Harrow Strategic Housing Market </w:t>
      </w:r>
      <w:r w:rsidR="00C8478B" w:rsidRPr="004735E2">
        <w:rPr>
          <w:rFonts w:cs="Arial"/>
        </w:rPr>
        <w:t>Assessment</w:t>
      </w:r>
      <w:r w:rsidR="00956F51" w:rsidRPr="004735E2">
        <w:rPr>
          <w:rFonts w:cs="Arial"/>
        </w:rPr>
        <w:t xml:space="preserve"> (SHMA) update</w:t>
      </w:r>
      <w:r w:rsidR="00DC3FD6" w:rsidRPr="004735E2">
        <w:rPr>
          <w:rFonts w:cs="Arial"/>
        </w:rPr>
        <w:t xml:space="preserve"> (anticipated March 2023)</w:t>
      </w:r>
    </w:p>
    <w:p w14:paraId="3DCAE60A" w14:textId="3C862F91" w:rsidR="00336CAC" w:rsidRPr="004735E2" w:rsidRDefault="00336CAC" w:rsidP="00C8478B">
      <w:pPr>
        <w:ind w:left="1418" w:hanging="567"/>
        <w:rPr>
          <w:rFonts w:cs="Arial"/>
        </w:rPr>
      </w:pPr>
      <w:r w:rsidRPr="004735E2">
        <w:rPr>
          <w:rFonts w:cs="Arial"/>
        </w:rPr>
        <w:t>(m)</w:t>
      </w:r>
      <w:r w:rsidRPr="004735E2">
        <w:rPr>
          <w:rFonts w:cs="Arial"/>
        </w:rPr>
        <w:tab/>
        <w:t>Sporting pitches (</w:t>
      </w:r>
      <w:r w:rsidR="00710AE2">
        <w:rPr>
          <w:rFonts w:cs="Arial"/>
        </w:rPr>
        <w:t>anticipated mid-2023</w:t>
      </w:r>
      <w:r w:rsidRPr="004735E2">
        <w:rPr>
          <w:rFonts w:cs="Arial"/>
        </w:rPr>
        <w:t>)</w:t>
      </w:r>
    </w:p>
    <w:p w14:paraId="3B47622B" w14:textId="6B5D7577" w:rsidR="00336CAC" w:rsidRPr="004735E2" w:rsidRDefault="00336CAC" w:rsidP="00C8478B">
      <w:pPr>
        <w:ind w:left="1418" w:hanging="567"/>
        <w:rPr>
          <w:rFonts w:cs="Arial"/>
        </w:rPr>
      </w:pPr>
      <w:r w:rsidRPr="004735E2">
        <w:rPr>
          <w:rFonts w:cs="Arial"/>
        </w:rPr>
        <w:t>(n)</w:t>
      </w:r>
      <w:r w:rsidRPr="004735E2">
        <w:rPr>
          <w:rFonts w:cs="Arial"/>
        </w:rPr>
        <w:tab/>
      </w:r>
      <w:r w:rsidR="00AB3BAC" w:rsidRPr="004735E2">
        <w:rPr>
          <w:rFonts w:cs="Arial"/>
        </w:rPr>
        <w:t>Net Zero Carbon study (March 2023)</w:t>
      </w:r>
    </w:p>
    <w:p w14:paraId="1D214F8F" w14:textId="77777777" w:rsidR="00AB3BAC" w:rsidRPr="00A518A4" w:rsidRDefault="00AB3BAC" w:rsidP="00ED4EBD">
      <w:pPr>
        <w:ind w:left="1134" w:hanging="567"/>
        <w:rPr>
          <w:rFonts w:cs="Arial"/>
        </w:rPr>
      </w:pPr>
    </w:p>
    <w:p w14:paraId="5A5A4337" w14:textId="0AC36669" w:rsidR="004735E2" w:rsidRPr="007E4460" w:rsidRDefault="004735E2" w:rsidP="008B641B">
      <w:pPr>
        <w:pStyle w:val="Heading3"/>
        <w:keepNext/>
        <w:spacing w:before="240"/>
        <w:ind w:left="851" w:hanging="851"/>
        <w:jc w:val="left"/>
      </w:pPr>
      <w:r w:rsidRPr="007E4460">
        <w:t>7.0</w:t>
      </w:r>
      <w:r w:rsidRPr="007E4460">
        <w:tab/>
        <w:t>Way forward</w:t>
      </w:r>
    </w:p>
    <w:p w14:paraId="53D17497" w14:textId="77777777" w:rsidR="004735E2" w:rsidRPr="007E4460" w:rsidRDefault="004735E2" w:rsidP="008B641B">
      <w:pPr>
        <w:keepNext/>
        <w:ind w:left="851" w:hanging="851"/>
      </w:pPr>
    </w:p>
    <w:p w14:paraId="7B13E0CB" w14:textId="09EDEA7B" w:rsidR="004735E2" w:rsidRPr="007E4460" w:rsidRDefault="004735E2" w:rsidP="008B641B">
      <w:pPr>
        <w:keepNext/>
        <w:ind w:left="851" w:hanging="851"/>
      </w:pPr>
      <w:r w:rsidRPr="007E4460">
        <w:t>7.1</w:t>
      </w:r>
      <w:r w:rsidRPr="007E4460">
        <w:tab/>
      </w:r>
      <w:r w:rsidR="001C4311" w:rsidRPr="007E4460">
        <w:t>As noted above, the new Local Plan</w:t>
      </w:r>
      <w:r w:rsidR="0068734E" w:rsidRPr="007E4460">
        <w:t xml:space="preserve"> will need to set out </w:t>
      </w:r>
      <w:r w:rsidR="00E96D11" w:rsidRPr="007E4460">
        <w:t xml:space="preserve">the spatial vision and objectives for the borough in order to </w:t>
      </w:r>
      <w:r w:rsidR="00F43410" w:rsidRPr="007E4460">
        <w:t xml:space="preserve">meet the needs of the borough in a sustainable manner. </w:t>
      </w:r>
      <w:r w:rsidR="00FC1FDF" w:rsidRPr="007E4460">
        <w:t>To do this, consideration needs to be given to:</w:t>
      </w:r>
    </w:p>
    <w:p w14:paraId="1BB80DAC" w14:textId="77777777" w:rsidR="00FC1FDF" w:rsidRPr="007E4460" w:rsidRDefault="00FC1FDF" w:rsidP="008B641B">
      <w:pPr>
        <w:keepNext/>
        <w:ind w:left="851" w:hanging="851"/>
      </w:pPr>
    </w:p>
    <w:p w14:paraId="097E738A" w14:textId="283CA72B" w:rsidR="00FC1FDF" w:rsidRPr="007E4460" w:rsidRDefault="0062317E" w:rsidP="00FC1FDF">
      <w:pPr>
        <w:ind w:left="1701" w:hanging="851"/>
      </w:pPr>
      <w:r w:rsidRPr="007E4460">
        <w:t>(a)</w:t>
      </w:r>
      <w:r w:rsidRPr="007E4460">
        <w:tab/>
      </w:r>
      <w:r w:rsidR="00E529FB" w:rsidRPr="007E4460">
        <w:t>What is the Council’s vision for the borough?</w:t>
      </w:r>
    </w:p>
    <w:p w14:paraId="086C31F1" w14:textId="6683F5AB" w:rsidR="00E529FB" w:rsidRPr="007E4460" w:rsidRDefault="0062317E" w:rsidP="00FC1FDF">
      <w:pPr>
        <w:ind w:left="1701" w:hanging="851"/>
      </w:pPr>
      <w:r w:rsidRPr="007E4460">
        <w:t>(b)</w:t>
      </w:r>
      <w:r w:rsidRPr="007E4460">
        <w:tab/>
      </w:r>
      <w:r w:rsidR="00E529FB" w:rsidRPr="007E4460">
        <w:t>What are the objectives for the new Local Plan?</w:t>
      </w:r>
    </w:p>
    <w:p w14:paraId="0B536E64" w14:textId="62EA94F5" w:rsidR="00EE7A48" w:rsidRPr="007E4460" w:rsidRDefault="0062317E" w:rsidP="00FC1FDF">
      <w:pPr>
        <w:ind w:left="1701" w:hanging="851"/>
      </w:pPr>
      <w:r w:rsidRPr="007E4460">
        <w:t>(c)</w:t>
      </w:r>
      <w:r w:rsidRPr="007E4460">
        <w:tab/>
      </w:r>
      <w:r w:rsidR="00EE7A48" w:rsidRPr="007E4460">
        <w:t xml:space="preserve">What are the needs the </w:t>
      </w:r>
      <w:r w:rsidR="007E45D0" w:rsidRPr="007E4460">
        <w:t>Local Plan should be seeking to meet?</w:t>
      </w:r>
    </w:p>
    <w:p w14:paraId="62F9EAD5" w14:textId="3A02521B" w:rsidR="00FB6760" w:rsidRPr="007E4460" w:rsidRDefault="0062317E" w:rsidP="00FC1FDF">
      <w:pPr>
        <w:ind w:left="1701" w:hanging="851"/>
      </w:pPr>
      <w:r w:rsidRPr="007E4460">
        <w:t>(d)</w:t>
      </w:r>
      <w:r w:rsidRPr="007E4460">
        <w:tab/>
      </w:r>
      <w:r w:rsidR="00FB6760" w:rsidRPr="007E4460">
        <w:t xml:space="preserve">What are the </w:t>
      </w:r>
      <w:r w:rsidR="00F975C5" w:rsidRPr="007E4460">
        <w:t xml:space="preserve">issues </w:t>
      </w:r>
      <w:r w:rsidRPr="007E4460">
        <w:t>the Local Plan should address?</w:t>
      </w:r>
    </w:p>
    <w:p w14:paraId="6C2EA560" w14:textId="77777777" w:rsidR="00F43410" w:rsidRPr="007E4460" w:rsidRDefault="00F43410" w:rsidP="004735E2">
      <w:pPr>
        <w:ind w:left="851" w:hanging="851"/>
      </w:pPr>
    </w:p>
    <w:p w14:paraId="7EA9E614" w14:textId="6B652102" w:rsidR="00F43410" w:rsidRDefault="00ED52F3" w:rsidP="004735E2">
      <w:pPr>
        <w:ind w:left="851" w:hanging="851"/>
      </w:pPr>
      <w:r w:rsidRPr="007E4460">
        <w:t>7.2</w:t>
      </w:r>
      <w:r w:rsidRPr="007E4460">
        <w:tab/>
        <w:t>The presentation and discussion at the meeting will cover the above.</w:t>
      </w:r>
    </w:p>
    <w:p w14:paraId="7AA5D530" w14:textId="5D71FFC1" w:rsidR="00307F76" w:rsidRPr="00424E06" w:rsidRDefault="00307F76" w:rsidP="002A4CA2">
      <w:pPr>
        <w:keepNext/>
        <w:spacing w:before="240"/>
        <w:rPr>
          <w:b/>
          <w:szCs w:val="24"/>
        </w:rPr>
      </w:pPr>
      <w:r w:rsidRPr="00424E06">
        <w:rPr>
          <w:b/>
          <w:szCs w:val="24"/>
        </w:rPr>
        <w:t xml:space="preserve">Ward Councillors’ comments </w:t>
      </w:r>
    </w:p>
    <w:p w14:paraId="796D6EDE" w14:textId="4EF210C8" w:rsidR="00B43E56" w:rsidRPr="00424E06" w:rsidRDefault="00727FE6" w:rsidP="001472A8">
      <w:pPr>
        <w:spacing w:before="240"/>
        <w:rPr>
          <w:szCs w:val="24"/>
        </w:rPr>
      </w:pPr>
      <w:r w:rsidRPr="00424E06">
        <w:rPr>
          <w:bCs/>
          <w:szCs w:val="24"/>
        </w:rPr>
        <w:t xml:space="preserve">Not applicable </w:t>
      </w:r>
      <w:r w:rsidR="00130BA5" w:rsidRPr="00424E06">
        <w:rPr>
          <w:bCs/>
          <w:szCs w:val="24"/>
        </w:rPr>
        <w:t>–</w:t>
      </w:r>
      <w:r w:rsidRPr="00424E06">
        <w:rPr>
          <w:bCs/>
          <w:szCs w:val="24"/>
        </w:rPr>
        <w:t xml:space="preserve"> </w:t>
      </w:r>
      <w:r w:rsidR="00130BA5" w:rsidRPr="00424E06">
        <w:rPr>
          <w:bCs/>
          <w:szCs w:val="24"/>
        </w:rPr>
        <w:t>covers all wards</w:t>
      </w:r>
    </w:p>
    <w:p w14:paraId="75284416" w14:textId="1002A45A" w:rsidR="00A81E19" w:rsidRPr="00424E06" w:rsidRDefault="00A81E19" w:rsidP="007621D9">
      <w:pPr>
        <w:pStyle w:val="Heading3"/>
        <w:keepNext/>
        <w:spacing w:before="480" w:after="240"/>
      </w:pPr>
      <w:r w:rsidRPr="00424E06">
        <w:t>Risk Management Implications</w:t>
      </w:r>
    </w:p>
    <w:p w14:paraId="0B289C2F" w14:textId="67FF26AD" w:rsidR="00C53F1A" w:rsidRPr="00424E06" w:rsidRDefault="00C53F1A" w:rsidP="00105B8A">
      <w:pPr>
        <w:tabs>
          <w:tab w:val="left" w:pos="5610"/>
        </w:tabs>
        <w:ind w:right="81"/>
        <w:rPr>
          <w:color w:val="0000FF"/>
        </w:rPr>
      </w:pPr>
      <w:bookmarkStart w:id="0" w:name="_Hlk60923477"/>
      <w:bookmarkStart w:id="1" w:name="_Hlk60922991"/>
      <w:bookmarkStart w:id="2" w:name="_Hlk60923939"/>
      <w:r w:rsidRPr="00424E06">
        <w:rPr>
          <w:rFonts w:cs="Arial"/>
          <w:szCs w:val="24"/>
        </w:rPr>
        <w:t xml:space="preserve">Risks included on corporate or directorate risk register? </w:t>
      </w:r>
      <w:r w:rsidRPr="00424E06">
        <w:rPr>
          <w:rFonts w:cs="Arial"/>
          <w:b/>
          <w:bCs/>
          <w:szCs w:val="24"/>
        </w:rPr>
        <w:t>No</w:t>
      </w:r>
      <w:r w:rsidRPr="00424E06">
        <w:rPr>
          <w:rFonts w:cs="Arial"/>
          <w:szCs w:val="24"/>
        </w:rPr>
        <w:t xml:space="preserve"> </w:t>
      </w:r>
    </w:p>
    <w:p w14:paraId="2FFC64C8" w14:textId="64B87FDF" w:rsidR="00C53F1A" w:rsidRPr="00424E06" w:rsidRDefault="00C53F1A" w:rsidP="007621D9">
      <w:pPr>
        <w:ind w:right="141"/>
        <w:rPr>
          <w:rFonts w:cs="Arial"/>
          <w:szCs w:val="24"/>
          <w:lang w:eastAsia="en-GB"/>
        </w:rPr>
      </w:pPr>
    </w:p>
    <w:p w14:paraId="00B31EDB" w14:textId="427BA9E4" w:rsidR="00C53F1A" w:rsidRDefault="00C53F1A" w:rsidP="00130BA5">
      <w:pPr>
        <w:ind w:right="141"/>
        <w:rPr>
          <w:rFonts w:cs="Arial"/>
          <w:szCs w:val="24"/>
          <w:lang w:eastAsia="en-GB"/>
        </w:rPr>
      </w:pPr>
      <w:r w:rsidRPr="00424E06">
        <w:rPr>
          <w:rFonts w:cs="Arial"/>
          <w:szCs w:val="24"/>
          <w:lang w:eastAsia="en-GB"/>
        </w:rPr>
        <w:t xml:space="preserve">Separate risk register in place? </w:t>
      </w:r>
      <w:r w:rsidR="00130BA5" w:rsidRPr="00424E06">
        <w:rPr>
          <w:rFonts w:cs="Arial"/>
          <w:b/>
          <w:bCs/>
          <w:szCs w:val="24"/>
          <w:lang w:eastAsia="en-GB"/>
        </w:rPr>
        <w:t xml:space="preserve">Yes </w:t>
      </w:r>
      <w:r w:rsidR="00130BA5" w:rsidRPr="00424E06">
        <w:rPr>
          <w:rFonts w:cs="Arial"/>
          <w:szCs w:val="24"/>
          <w:lang w:eastAsia="en-GB"/>
        </w:rPr>
        <w:t xml:space="preserve">– as part of a weekly report reviewed by the Chief Planning Officer </w:t>
      </w:r>
    </w:p>
    <w:p w14:paraId="005593AC" w14:textId="77777777" w:rsidR="00996915" w:rsidRDefault="00996915" w:rsidP="00130BA5">
      <w:pPr>
        <w:ind w:right="141"/>
        <w:rPr>
          <w:rFonts w:cs="Arial"/>
          <w:szCs w:val="24"/>
          <w:lang w:eastAsia="en-GB"/>
        </w:rPr>
      </w:pPr>
    </w:p>
    <w:p w14:paraId="4058FF91" w14:textId="423412A5" w:rsidR="00996915" w:rsidRPr="00424E06" w:rsidRDefault="00B60C1D" w:rsidP="00130BA5">
      <w:pPr>
        <w:ind w:right="141"/>
        <w:rPr>
          <w:rFonts w:cs="Arial"/>
          <w:color w:val="4F81BD" w:themeColor="accent1"/>
          <w:szCs w:val="24"/>
          <w:lang w:eastAsia="en-GB"/>
        </w:rPr>
      </w:pPr>
      <w:r>
        <w:rPr>
          <w:rFonts w:cs="Arial"/>
          <w:szCs w:val="24"/>
          <w:lang w:eastAsia="en-GB"/>
        </w:rPr>
        <w:t>This report is for information and discussion only</w:t>
      </w:r>
      <w:r w:rsidR="005512CA">
        <w:rPr>
          <w:rFonts w:cs="Arial"/>
          <w:szCs w:val="24"/>
          <w:lang w:eastAsia="en-GB"/>
        </w:rPr>
        <w:t xml:space="preserve"> so no </w:t>
      </w:r>
      <w:r w:rsidR="007621D9">
        <w:rPr>
          <w:rFonts w:cs="Arial"/>
          <w:szCs w:val="24"/>
          <w:lang w:eastAsia="en-GB"/>
        </w:rPr>
        <w:t xml:space="preserve">immediate </w:t>
      </w:r>
      <w:r w:rsidR="005512CA">
        <w:rPr>
          <w:rFonts w:cs="Arial"/>
          <w:szCs w:val="24"/>
          <w:lang w:eastAsia="en-GB"/>
        </w:rPr>
        <w:t>risks arising from the report.</w:t>
      </w:r>
    </w:p>
    <w:bookmarkEnd w:id="0"/>
    <w:bookmarkEnd w:id="1"/>
    <w:bookmarkEnd w:id="2"/>
    <w:p w14:paraId="0249BBDB" w14:textId="02A38157" w:rsidR="002A3FEF" w:rsidRPr="00424E06" w:rsidRDefault="002A3FEF" w:rsidP="00A61103">
      <w:pPr>
        <w:pStyle w:val="Heading3"/>
        <w:keepNext/>
        <w:spacing w:before="480" w:after="240"/>
        <w:rPr>
          <w:color w:val="000000" w:themeColor="text1"/>
        </w:rPr>
      </w:pPr>
      <w:r w:rsidRPr="00424E06">
        <w:rPr>
          <w:color w:val="000000" w:themeColor="text1"/>
        </w:rPr>
        <w:t>Procurement Implications</w:t>
      </w:r>
    </w:p>
    <w:p w14:paraId="088A7F45" w14:textId="568A4ABC" w:rsidR="002A3FEF" w:rsidRPr="00424E06" w:rsidRDefault="005512CA" w:rsidP="00AD1E77">
      <w:pPr>
        <w:spacing w:before="240"/>
        <w:rPr>
          <w:color w:val="000000" w:themeColor="text1"/>
        </w:rPr>
      </w:pPr>
      <w:r>
        <w:rPr>
          <w:color w:val="000000" w:themeColor="text1"/>
        </w:rPr>
        <w:t xml:space="preserve">None </w:t>
      </w:r>
      <w:r w:rsidR="006B75C0">
        <w:rPr>
          <w:color w:val="000000" w:themeColor="text1"/>
        </w:rPr>
        <w:t>–</w:t>
      </w:r>
      <w:r>
        <w:rPr>
          <w:color w:val="000000" w:themeColor="text1"/>
        </w:rPr>
        <w:t xml:space="preserve"> </w:t>
      </w:r>
      <w:r w:rsidR="006B75C0">
        <w:rPr>
          <w:color w:val="000000" w:themeColor="text1"/>
        </w:rPr>
        <w:t>report for information and discussion only.</w:t>
      </w:r>
    </w:p>
    <w:p w14:paraId="44413A6E" w14:textId="77777777" w:rsidR="00333FAA" w:rsidRPr="00424E06" w:rsidRDefault="00333FAA" w:rsidP="00A61103">
      <w:pPr>
        <w:pStyle w:val="Heading3"/>
        <w:keepNext/>
        <w:spacing w:before="480" w:after="240"/>
        <w:rPr>
          <w:color w:val="000000" w:themeColor="text1"/>
        </w:rPr>
      </w:pPr>
      <w:r w:rsidRPr="00424E06">
        <w:rPr>
          <w:color w:val="000000" w:themeColor="text1"/>
        </w:rPr>
        <w:t>Legal Implications</w:t>
      </w:r>
    </w:p>
    <w:p w14:paraId="7CAE2505" w14:textId="77777777" w:rsidR="006B75C0" w:rsidRPr="00424E06" w:rsidRDefault="006B75C0" w:rsidP="006B75C0">
      <w:pPr>
        <w:spacing w:before="240"/>
        <w:rPr>
          <w:color w:val="000000" w:themeColor="text1"/>
        </w:rPr>
      </w:pPr>
      <w:r>
        <w:rPr>
          <w:color w:val="000000" w:themeColor="text1"/>
        </w:rPr>
        <w:t>None – report for information and discussion only.</w:t>
      </w:r>
    </w:p>
    <w:p w14:paraId="11F2AC04" w14:textId="77777777" w:rsidR="00333FAA" w:rsidRPr="00424E06" w:rsidRDefault="00333FAA" w:rsidP="00A61103">
      <w:pPr>
        <w:pStyle w:val="Heading3"/>
        <w:keepNext/>
        <w:spacing w:before="480" w:after="240"/>
        <w:rPr>
          <w:color w:val="000000" w:themeColor="text1"/>
        </w:rPr>
      </w:pPr>
      <w:r w:rsidRPr="00424E06">
        <w:rPr>
          <w:color w:val="000000" w:themeColor="text1"/>
        </w:rPr>
        <w:lastRenderedPageBreak/>
        <w:t>Financial Implications</w:t>
      </w:r>
    </w:p>
    <w:p w14:paraId="119990D0" w14:textId="77777777" w:rsidR="006B75C0" w:rsidRPr="00424E06" w:rsidRDefault="006B75C0" w:rsidP="006B75C0">
      <w:pPr>
        <w:spacing w:before="240"/>
        <w:rPr>
          <w:color w:val="000000" w:themeColor="text1"/>
        </w:rPr>
      </w:pPr>
      <w:r>
        <w:rPr>
          <w:color w:val="000000" w:themeColor="text1"/>
        </w:rPr>
        <w:t>None – report for information and discussion only.</w:t>
      </w:r>
    </w:p>
    <w:p w14:paraId="41D80CF8" w14:textId="77777777" w:rsidR="00333FAA" w:rsidRPr="00424E06" w:rsidRDefault="00333FAA" w:rsidP="00A61103">
      <w:pPr>
        <w:pStyle w:val="Heading3"/>
        <w:keepNext/>
        <w:spacing w:before="480" w:after="240"/>
        <w:rPr>
          <w:color w:val="000000" w:themeColor="text1"/>
        </w:rPr>
      </w:pPr>
      <w:r w:rsidRPr="00424E06">
        <w:rPr>
          <w:color w:val="000000" w:themeColor="text1"/>
        </w:rPr>
        <w:t>Equalities implications</w:t>
      </w:r>
      <w:r w:rsidR="001C7E35" w:rsidRPr="00424E06">
        <w:rPr>
          <w:color w:val="000000" w:themeColor="text1"/>
        </w:rPr>
        <w:t xml:space="preserve"> </w:t>
      </w:r>
      <w:r w:rsidRPr="00424E06">
        <w:rPr>
          <w:color w:val="000000" w:themeColor="text1"/>
        </w:rPr>
        <w:t>/</w:t>
      </w:r>
      <w:r w:rsidR="001C7E35" w:rsidRPr="00424E06">
        <w:rPr>
          <w:color w:val="000000" w:themeColor="text1"/>
        </w:rPr>
        <w:t xml:space="preserve"> </w:t>
      </w:r>
      <w:r w:rsidRPr="00424E06">
        <w:rPr>
          <w:color w:val="000000" w:themeColor="text1"/>
        </w:rPr>
        <w:t>Public Sector Equality Duty</w:t>
      </w:r>
    </w:p>
    <w:p w14:paraId="49F0E9F8" w14:textId="77777777" w:rsidR="00131FC1" w:rsidRPr="00424E06" w:rsidRDefault="00131FC1" w:rsidP="00131FC1">
      <w:pPr>
        <w:spacing w:before="240"/>
        <w:rPr>
          <w:color w:val="000000" w:themeColor="text1"/>
        </w:rPr>
      </w:pPr>
      <w:r>
        <w:rPr>
          <w:color w:val="000000" w:themeColor="text1"/>
        </w:rPr>
        <w:t>None – report for information and discussion only.</w:t>
      </w:r>
    </w:p>
    <w:p w14:paraId="0E9ED8C5" w14:textId="1BF62E0F" w:rsidR="00333FAA" w:rsidRPr="00424E06" w:rsidRDefault="00333FAA" w:rsidP="007621D9">
      <w:pPr>
        <w:pStyle w:val="Heading3"/>
        <w:keepNext/>
        <w:spacing w:before="480" w:after="240"/>
        <w:ind w:left="0" w:firstLine="0"/>
        <w:rPr>
          <w:rFonts w:eastAsia="Arial"/>
          <w:b w:val="0"/>
          <w:bCs w:val="0"/>
          <w:color w:val="000000" w:themeColor="text1"/>
          <w:sz w:val="24"/>
          <w:szCs w:val="24"/>
        </w:rPr>
      </w:pPr>
      <w:r w:rsidRPr="00424E06">
        <w:rPr>
          <w:color w:val="000000" w:themeColor="text1"/>
        </w:rPr>
        <w:t>Council Priorities</w:t>
      </w:r>
    </w:p>
    <w:p w14:paraId="7EEEB0D0" w14:textId="61FE2430" w:rsidR="001966D7" w:rsidRPr="00424E06" w:rsidRDefault="001966D7" w:rsidP="007621D9">
      <w:pPr>
        <w:keepNext/>
        <w:rPr>
          <w:rFonts w:cs="Arial"/>
          <w:szCs w:val="24"/>
        </w:rPr>
      </w:pPr>
      <w:r w:rsidRPr="00424E06">
        <w:rPr>
          <w:rFonts w:cs="Arial"/>
          <w:szCs w:val="24"/>
        </w:rPr>
        <w:t xml:space="preserve">Please identify how the </w:t>
      </w:r>
      <w:r w:rsidR="00A23E19" w:rsidRPr="00424E06">
        <w:rPr>
          <w:rFonts w:cs="Arial"/>
          <w:szCs w:val="24"/>
        </w:rPr>
        <w:t>decision sought delivers th</w:t>
      </w:r>
      <w:r w:rsidR="001D3ADD" w:rsidRPr="00424E06">
        <w:rPr>
          <w:rFonts w:cs="Arial"/>
          <w:szCs w:val="24"/>
        </w:rPr>
        <w:t>is</w:t>
      </w:r>
      <w:r w:rsidR="00A23E19" w:rsidRPr="00424E06">
        <w:rPr>
          <w:rFonts w:cs="Arial"/>
          <w:szCs w:val="24"/>
        </w:rPr>
        <w:t xml:space="preserve"> </w:t>
      </w:r>
      <w:r w:rsidRPr="00424E06">
        <w:rPr>
          <w:rFonts w:cs="Arial"/>
          <w:szCs w:val="24"/>
        </w:rPr>
        <w:t>priorit</w:t>
      </w:r>
      <w:r w:rsidR="001D3ADD" w:rsidRPr="00424E06">
        <w:rPr>
          <w:rFonts w:cs="Arial"/>
          <w:szCs w:val="24"/>
        </w:rPr>
        <w:t>y</w:t>
      </w:r>
      <w:r w:rsidRPr="00424E06">
        <w:rPr>
          <w:rFonts w:cs="Arial"/>
          <w:szCs w:val="24"/>
        </w:rPr>
        <w:t xml:space="preserve">. </w:t>
      </w:r>
    </w:p>
    <w:p w14:paraId="74ED77AB" w14:textId="34CF1151" w:rsidR="00307F76" w:rsidRDefault="00DC698B" w:rsidP="001957E2">
      <w:pPr>
        <w:pStyle w:val="ListParagraph"/>
        <w:numPr>
          <w:ilvl w:val="0"/>
          <w:numId w:val="2"/>
        </w:numPr>
        <w:autoSpaceDE w:val="0"/>
        <w:autoSpaceDN w:val="0"/>
        <w:spacing w:before="240"/>
        <w:rPr>
          <w:b/>
        </w:rPr>
      </w:pPr>
      <w:r w:rsidRPr="00424E06">
        <w:rPr>
          <w:b/>
        </w:rPr>
        <w:t>Putting residents fi</w:t>
      </w:r>
      <w:r w:rsidR="001D3ADD" w:rsidRPr="00424E06">
        <w:rPr>
          <w:b/>
        </w:rPr>
        <w:t>r</w:t>
      </w:r>
      <w:r w:rsidRPr="00424E06">
        <w:rPr>
          <w:b/>
        </w:rPr>
        <w:t>st</w:t>
      </w:r>
      <w:r w:rsidR="001D3ADD" w:rsidRPr="00424E06">
        <w:rPr>
          <w:b/>
        </w:rPr>
        <w:t>.</w:t>
      </w:r>
    </w:p>
    <w:p w14:paraId="7C8D2323" w14:textId="1AD5D371" w:rsidR="000117AD" w:rsidRDefault="000117AD" w:rsidP="001957E2">
      <w:pPr>
        <w:pStyle w:val="ListParagraph"/>
        <w:numPr>
          <w:ilvl w:val="0"/>
          <w:numId w:val="2"/>
        </w:numPr>
        <w:autoSpaceDE w:val="0"/>
        <w:autoSpaceDN w:val="0"/>
        <w:spacing w:before="240"/>
        <w:rPr>
          <w:b/>
        </w:rPr>
      </w:pPr>
      <w:r>
        <w:rPr>
          <w:b/>
        </w:rPr>
        <w:t>A Borough</w:t>
      </w:r>
      <w:r w:rsidR="00D103DF">
        <w:rPr>
          <w:b/>
        </w:rPr>
        <w:t xml:space="preserve"> </w:t>
      </w:r>
      <w:r>
        <w:rPr>
          <w:b/>
        </w:rPr>
        <w:t xml:space="preserve">that </w:t>
      </w:r>
      <w:r w:rsidR="00D103DF">
        <w:rPr>
          <w:b/>
        </w:rPr>
        <w:t>is Clean and Safe</w:t>
      </w:r>
    </w:p>
    <w:p w14:paraId="3A82E4B6" w14:textId="77C3EB2D" w:rsidR="00D103DF" w:rsidRDefault="00D103DF" w:rsidP="001957E2">
      <w:pPr>
        <w:pStyle w:val="ListParagraph"/>
        <w:numPr>
          <w:ilvl w:val="0"/>
          <w:numId w:val="2"/>
        </w:numPr>
        <w:autoSpaceDE w:val="0"/>
        <w:autoSpaceDN w:val="0"/>
        <w:spacing w:before="240"/>
        <w:rPr>
          <w:b/>
        </w:rPr>
      </w:pPr>
      <w:r>
        <w:rPr>
          <w:b/>
        </w:rPr>
        <w:t>A Place where those in need are supported.</w:t>
      </w:r>
    </w:p>
    <w:p w14:paraId="5DD52A02" w14:textId="7E21EA3C" w:rsidR="00D103DF" w:rsidRPr="00D103DF" w:rsidRDefault="00D103DF" w:rsidP="00D103DF">
      <w:pPr>
        <w:autoSpaceDE w:val="0"/>
        <w:autoSpaceDN w:val="0"/>
        <w:spacing w:before="240"/>
        <w:rPr>
          <w:bCs/>
        </w:rPr>
      </w:pPr>
      <w:r w:rsidRPr="00D103DF">
        <w:rPr>
          <w:bCs/>
        </w:rPr>
        <w:t xml:space="preserve">The </w:t>
      </w:r>
      <w:r w:rsidR="008667FE">
        <w:rPr>
          <w:bCs/>
        </w:rPr>
        <w:t xml:space="preserve">wide-ranging nature of the spatial plan means that the </w:t>
      </w:r>
      <w:r w:rsidRPr="00D103DF">
        <w:rPr>
          <w:bCs/>
        </w:rPr>
        <w:t>new</w:t>
      </w:r>
      <w:r>
        <w:rPr>
          <w:bCs/>
        </w:rPr>
        <w:t xml:space="preserve"> Local Plan will contribute to al</w:t>
      </w:r>
      <w:r w:rsidR="009E14E9">
        <w:rPr>
          <w:bCs/>
        </w:rPr>
        <w:t xml:space="preserve">l </w:t>
      </w:r>
      <w:r w:rsidR="008667FE">
        <w:rPr>
          <w:bCs/>
        </w:rPr>
        <w:t xml:space="preserve">the delivery </w:t>
      </w:r>
      <w:r w:rsidR="009E14E9">
        <w:rPr>
          <w:bCs/>
        </w:rPr>
        <w:t>of these priories as well as the objective to Restore Pride in Harrow.</w:t>
      </w:r>
    </w:p>
    <w:p w14:paraId="5514D939" w14:textId="77777777" w:rsidR="00333FAA" w:rsidRPr="00424E06" w:rsidRDefault="00333FAA" w:rsidP="00A72401">
      <w:pPr>
        <w:pStyle w:val="Heading2"/>
        <w:keepNext/>
        <w:spacing w:before="480" w:after="240"/>
      </w:pPr>
      <w:r w:rsidRPr="00424E06">
        <w:t>Section 3 - Statutory Officer Clearance</w:t>
      </w:r>
    </w:p>
    <w:p w14:paraId="31D8FA55" w14:textId="7EE01E8A" w:rsidR="00BF5AFA" w:rsidRPr="00547EF7" w:rsidRDefault="00BF5AFA" w:rsidP="00BF5AFA">
      <w:pPr>
        <w:rPr>
          <w:bCs/>
          <w:sz w:val="28"/>
        </w:rPr>
      </w:pPr>
      <w:r w:rsidRPr="00424E06">
        <w:rPr>
          <w:b/>
          <w:sz w:val="28"/>
        </w:rPr>
        <w:t xml:space="preserve">Chief Officer:  </w:t>
      </w:r>
      <w:r w:rsidR="00547EF7">
        <w:rPr>
          <w:bCs/>
          <w:sz w:val="28"/>
        </w:rPr>
        <w:t>Viv Evans</w:t>
      </w:r>
    </w:p>
    <w:p w14:paraId="6C086558" w14:textId="2D3A3AD6" w:rsidR="00BF5AFA" w:rsidRPr="00424E06" w:rsidRDefault="00BF5AFA" w:rsidP="00BF5AFA">
      <w:r w:rsidRPr="00424E06">
        <w:t xml:space="preserve">Signed off by the </w:t>
      </w:r>
      <w:r w:rsidR="004E034C" w:rsidRPr="00424E06">
        <w:t>Chief Officer</w:t>
      </w:r>
    </w:p>
    <w:p w14:paraId="34A60057" w14:textId="2024E237" w:rsidR="00BF5AFA" w:rsidRDefault="00F353EA" w:rsidP="00BF5AFA">
      <w:pPr>
        <w:rPr>
          <w:sz w:val="28"/>
        </w:rPr>
      </w:pPr>
      <w:r>
        <w:rPr>
          <w:noProof/>
        </w:rPr>
        <w:drawing>
          <wp:inline distT="0" distB="0" distL="0" distR="0" wp14:anchorId="42072874" wp14:editId="248A92AF">
            <wp:extent cx="1924050" cy="728906"/>
            <wp:effectExtent l="0" t="0" r="0" b="0"/>
            <wp:docPr id="1052228103" name="Picture 105222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28103" name="Picture 105222810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2532" cy="732119"/>
                    </a:xfrm>
                    <a:prstGeom prst="rect">
                      <a:avLst/>
                    </a:prstGeom>
                  </pic:spPr>
                </pic:pic>
              </a:graphicData>
            </a:graphic>
          </wp:inline>
        </w:drawing>
      </w:r>
    </w:p>
    <w:p w14:paraId="5F67CDF0" w14:textId="1B784F6F" w:rsidR="00BF5AFA" w:rsidRPr="008C2F07" w:rsidRDefault="00BF5AFA" w:rsidP="00BF5AFA">
      <w:pPr>
        <w:spacing w:after="480"/>
        <w:rPr>
          <w:bCs/>
          <w:sz w:val="28"/>
        </w:rPr>
      </w:pPr>
      <w:r w:rsidRPr="00424E06">
        <w:rPr>
          <w:b/>
          <w:sz w:val="28"/>
        </w:rPr>
        <w:t xml:space="preserve">Date:  </w:t>
      </w:r>
      <w:r w:rsidR="00254D1E">
        <w:rPr>
          <w:bCs/>
          <w:sz w:val="28"/>
        </w:rPr>
        <w:t>24</w:t>
      </w:r>
      <w:r w:rsidR="009E14E9">
        <w:rPr>
          <w:bCs/>
          <w:sz w:val="28"/>
        </w:rPr>
        <w:t xml:space="preserve"> February 2023</w:t>
      </w:r>
    </w:p>
    <w:p w14:paraId="45A19EC7" w14:textId="59434FDF" w:rsidR="003313EA" w:rsidRPr="00424E06" w:rsidRDefault="003313EA" w:rsidP="008C2F07">
      <w:pPr>
        <w:pStyle w:val="Heading2"/>
        <w:keepNext/>
        <w:spacing w:before="480" w:after="240"/>
        <w:rPr>
          <w:color w:val="000000" w:themeColor="text1"/>
        </w:rPr>
      </w:pPr>
      <w:r w:rsidRPr="00424E06">
        <w:rPr>
          <w:color w:val="000000" w:themeColor="text1"/>
        </w:rPr>
        <w:t>Mandatory Checks</w:t>
      </w:r>
    </w:p>
    <w:p w14:paraId="64551188" w14:textId="1C30E523" w:rsidR="003313EA" w:rsidRPr="00424E06" w:rsidRDefault="003313EA" w:rsidP="008C2F07">
      <w:pPr>
        <w:pStyle w:val="Heading3"/>
        <w:keepNext/>
        <w:ind w:left="0" w:firstLine="0"/>
        <w:jc w:val="left"/>
        <w:rPr>
          <w:color w:val="000000" w:themeColor="text1"/>
        </w:rPr>
      </w:pPr>
      <w:r w:rsidRPr="00424E06">
        <w:rPr>
          <w:color w:val="000000" w:themeColor="text1"/>
        </w:rPr>
        <w:t xml:space="preserve">Ward Councillors notified:  NO, as it impacts on all Wards </w:t>
      </w:r>
    </w:p>
    <w:p w14:paraId="2A2D9472" w14:textId="06CF55D6" w:rsidR="003313EA" w:rsidRPr="00424E06" w:rsidRDefault="003313EA" w:rsidP="003313EA">
      <w:pPr>
        <w:pStyle w:val="Heading3"/>
        <w:spacing w:before="240"/>
        <w:rPr>
          <w:b w:val="0"/>
          <w:color w:val="000000" w:themeColor="text1"/>
        </w:rPr>
      </w:pPr>
      <w:r w:rsidRPr="00424E06">
        <w:rPr>
          <w:color w:val="000000" w:themeColor="text1"/>
        </w:rPr>
        <w:t>EqIA carried out:  NO</w:t>
      </w:r>
    </w:p>
    <w:p w14:paraId="31A4A4A5" w14:textId="5B1CA41E" w:rsidR="003313EA" w:rsidRPr="00424E06" w:rsidRDefault="003313EA" w:rsidP="003313EA">
      <w:pPr>
        <w:pStyle w:val="Infotext"/>
        <w:rPr>
          <w:i/>
          <w:color w:val="000000" w:themeColor="text1"/>
          <w:sz w:val="24"/>
          <w:szCs w:val="24"/>
        </w:rPr>
      </w:pPr>
    </w:p>
    <w:p w14:paraId="144D0F82" w14:textId="43EA71C7" w:rsidR="003313EA" w:rsidRPr="00424E06" w:rsidRDefault="003313EA" w:rsidP="003313EA">
      <w:pPr>
        <w:pStyle w:val="Infotext"/>
        <w:rPr>
          <w:color w:val="000000" w:themeColor="text1"/>
        </w:rPr>
      </w:pPr>
      <w:r w:rsidRPr="00424E06">
        <w:rPr>
          <w:color w:val="000000" w:themeColor="text1"/>
        </w:rPr>
        <w:t xml:space="preserve">If </w:t>
      </w:r>
      <w:r w:rsidRPr="00424E06">
        <w:rPr>
          <w:b/>
          <w:color w:val="000000" w:themeColor="text1"/>
        </w:rPr>
        <w:t>‘NO’</w:t>
      </w:r>
      <w:r w:rsidRPr="00424E06">
        <w:rPr>
          <w:color w:val="000000" w:themeColor="text1"/>
        </w:rPr>
        <w:t xml:space="preserve"> state why an EqIA is not required for Cabinet to take a decision</w:t>
      </w:r>
      <w:r w:rsidR="00283DA6" w:rsidRPr="00424E06">
        <w:rPr>
          <w:color w:val="000000" w:themeColor="text1"/>
        </w:rPr>
        <w:t>.</w:t>
      </w:r>
    </w:p>
    <w:p w14:paraId="035F131D" w14:textId="77777777" w:rsidR="00B72724" w:rsidRPr="00424E06" w:rsidRDefault="00B72724" w:rsidP="003313EA">
      <w:pPr>
        <w:pStyle w:val="Infotext"/>
        <w:rPr>
          <w:color w:val="000000" w:themeColor="text1"/>
        </w:rPr>
      </w:pPr>
    </w:p>
    <w:p w14:paraId="7D293AF2" w14:textId="3AB02FB1" w:rsidR="00B72724" w:rsidRPr="00424E06" w:rsidRDefault="00B72724" w:rsidP="003313EA">
      <w:pPr>
        <w:pStyle w:val="Infotext"/>
      </w:pPr>
      <w:r w:rsidRPr="00424E06">
        <w:t xml:space="preserve">Panel is not a </w:t>
      </w:r>
      <w:r w:rsidR="00874453" w:rsidRPr="00424E06">
        <w:t>decision-making</w:t>
      </w:r>
      <w:r w:rsidRPr="00424E06">
        <w:t xml:space="preserve"> body</w:t>
      </w:r>
      <w:r w:rsidR="009E14E9">
        <w:t xml:space="preserve"> and report is for information only</w:t>
      </w:r>
      <w:r w:rsidRPr="00424E06">
        <w:t xml:space="preserve">. </w:t>
      </w:r>
      <w:r w:rsidR="009E14E9">
        <w:t>T</w:t>
      </w:r>
      <w:r w:rsidR="008403F1" w:rsidRPr="00424E06">
        <w:t>he Plan itself will be subject to a full EqIA</w:t>
      </w:r>
    </w:p>
    <w:p w14:paraId="6B589F3A" w14:textId="27AE28EC" w:rsidR="003313EA" w:rsidRPr="009D5A6A" w:rsidRDefault="003313EA" w:rsidP="00842757">
      <w:pPr>
        <w:pStyle w:val="Heading3"/>
        <w:spacing w:before="240"/>
        <w:jc w:val="left"/>
        <w:rPr>
          <w:b w:val="0"/>
          <w:bCs w:val="0"/>
          <w:color w:val="000000" w:themeColor="text1"/>
        </w:rPr>
      </w:pPr>
      <w:r w:rsidRPr="00424E06">
        <w:rPr>
          <w:color w:val="000000" w:themeColor="text1"/>
        </w:rPr>
        <w:t xml:space="preserve">EqIA cleared by:  </w:t>
      </w:r>
      <w:r w:rsidR="009D5A6A">
        <w:rPr>
          <w:b w:val="0"/>
          <w:bCs w:val="0"/>
          <w:color w:val="000000" w:themeColor="text1"/>
        </w:rPr>
        <w:t>N/A</w:t>
      </w:r>
    </w:p>
    <w:p w14:paraId="41E16C55" w14:textId="77777777" w:rsidR="00333FAA" w:rsidRPr="00424E06" w:rsidRDefault="00333FAA" w:rsidP="00842757">
      <w:pPr>
        <w:pStyle w:val="Heading2"/>
        <w:spacing w:before="480" w:after="240"/>
      </w:pPr>
      <w:r w:rsidRPr="00424E06">
        <w:lastRenderedPageBreak/>
        <w:t xml:space="preserve">Section </w:t>
      </w:r>
      <w:r w:rsidR="00A20113" w:rsidRPr="00424E06">
        <w:t>4</w:t>
      </w:r>
      <w:r w:rsidRPr="00424E06">
        <w:t xml:space="preserve"> - Contact Details and Background Papers</w:t>
      </w:r>
    </w:p>
    <w:p w14:paraId="0005C0E4" w14:textId="60CC0FAA" w:rsidR="00333FAA" w:rsidRPr="00424E06" w:rsidRDefault="00333FAA" w:rsidP="00CC18AC">
      <w:pPr>
        <w:pStyle w:val="Infotext"/>
        <w:spacing w:after="240"/>
        <w:rPr>
          <w:color w:val="000000" w:themeColor="text1"/>
        </w:rPr>
      </w:pPr>
      <w:r w:rsidRPr="00424E06">
        <w:rPr>
          <w:b/>
          <w:color w:val="000000" w:themeColor="text1"/>
        </w:rPr>
        <w:t xml:space="preserve">Contact:  </w:t>
      </w:r>
      <w:r w:rsidR="00FD6586" w:rsidRPr="00424E06">
        <w:rPr>
          <w:color w:val="000000" w:themeColor="text1"/>
        </w:rPr>
        <w:t>David Hughes, Planning Policy Manager, david.hughes@harrow.gov.uk</w:t>
      </w:r>
      <w:r w:rsidR="005808FB" w:rsidRPr="00424E06">
        <w:rPr>
          <w:color w:val="000000" w:themeColor="text1"/>
        </w:rPr>
        <w:t>.</w:t>
      </w:r>
    </w:p>
    <w:p w14:paraId="3DB6FBB6" w14:textId="77777777" w:rsidR="008A75F0" w:rsidRPr="00424E06" w:rsidRDefault="00333FAA" w:rsidP="00D7214B">
      <w:pPr>
        <w:pStyle w:val="Infotext"/>
        <w:keepNext/>
        <w:spacing w:after="240"/>
        <w:rPr>
          <w:b/>
        </w:rPr>
      </w:pPr>
      <w:r w:rsidRPr="00424E06">
        <w:rPr>
          <w:b/>
        </w:rPr>
        <w:t xml:space="preserve">Background Papers: </w:t>
      </w:r>
      <w:r w:rsidR="005808FB" w:rsidRPr="00424E06">
        <w:rPr>
          <w:b/>
        </w:rPr>
        <w:t xml:space="preserve"> </w:t>
      </w:r>
    </w:p>
    <w:p w14:paraId="3B761FEA" w14:textId="48C4E956" w:rsidR="008A75F0" w:rsidRPr="00424E06" w:rsidRDefault="008A75F0" w:rsidP="00CC18AC">
      <w:pPr>
        <w:pStyle w:val="Infotext"/>
        <w:spacing w:after="240"/>
      </w:pPr>
      <w:r w:rsidRPr="00424E06">
        <w:rPr>
          <w:bCs/>
        </w:rPr>
        <w:t>Nation</w:t>
      </w:r>
      <w:r w:rsidR="0020669F" w:rsidRPr="00424E06">
        <w:rPr>
          <w:bCs/>
        </w:rPr>
        <w:t>a</w:t>
      </w:r>
      <w:r w:rsidRPr="00424E06">
        <w:rPr>
          <w:bCs/>
        </w:rPr>
        <w:t>l</w:t>
      </w:r>
      <w:r w:rsidR="008C6459" w:rsidRPr="00424E06">
        <w:rPr>
          <w:bCs/>
        </w:rPr>
        <w:t xml:space="preserve"> Planning Policy Framework: </w:t>
      </w:r>
      <w:hyperlink r:id="rId14" w:history="1">
        <w:r w:rsidR="00A9645F" w:rsidRPr="00424E06">
          <w:rPr>
            <w:rStyle w:val="Hyperlink"/>
          </w:rPr>
          <w:t>National Planning Policy Framework (publishing.service.gov.uk)</w:t>
        </w:r>
      </w:hyperlink>
    </w:p>
    <w:p w14:paraId="4C0930E7" w14:textId="0941BD43" w:rsidR="00A9645F" w:rsidRPr="00424E06" w:rsidRDefault="00A9645F" w:rsidP="00CC18AC">
      <w:pPr>
        <w:pStyle w:val="Infotext"/>
        <w:spacing w:after="240"/>
      </w:pPr>
      <w:r w:rsidRPr="00424E06">
        <w:t>London Plan</w:t>
      </w:r>
      <w:r w:rsidR="00767390" w:rsidRPr="00424E06">
        <w:t xml:space="preserve"> (2021)</w:t>
      </w:r>
      <w:r w:rsidRPr="00424E06">
        <w:t xml:space="preserve">: </w:t>
      </w:r>
      <w:hyperlink r:id="rId15" w:history="1">
        <w:r w:rsidR="00767390" w:rsidRPr="00424E06">
          <w:rPr>
            <w:rStyle w:val="Hyperlink"/>
          </w:rPr>
          <w:t>The London Plan | London City Hall</w:t>
        </w:r>
      </w:hyperlink>
    </w:p>
    <w:p w14:paraId="15E1F655" w14:textId="27470666" w:rsidR="00767390" w:rsidRPr="00424E06" w:rsidRDefault="00B113ED" w:rsidP="00CC18AC">
      <w:pPr>
        <w:pStyle w:val="Infotext"/>
        <w:spacing w:after="240"/>
        <w:rPr>
          <w:bCs/>
        </w:rPr>
      </w:pPr>
      <w:r w:rsidRPr="00424E06">
        <w:t xml:space="preserve">Harrow Local Plan: </w:t>
      </w:r>
      <w:hyperlink r:id="rId16" w:history="1">
        <w:r w:rsidR="005752FE" w:rsidRPr="00424E06">
          <w:rPr>
            <w:rStyle w:val="Hyperlink"/>
          </w:rPr>
          <w:t>Planning and Developments – Harrow Council</w:t>
        </w:r>
      </w:hyperlink>
    </w:p>
    <w:p w14:paraId="7C8FEB52" w14:textId="68920CF0" w:rsidR="00842757" w:rsidRPr="00424E06" w:rsidRDefault="00842757" w:rsidP="00842757">
      <w:pPr>
        <w:pStyle w:val="Infotext"/>
        <w:spacing w:before="480"/>
        <w:rPr>
          <w:rFonts w:ascii="Arial Black" w:hAnsi="Arial Black"/>
        </w:rPr>
      </w:pPr>
      <w:r w:rsidRPr="00424E06">
        <w:rPr>
          <w:rFonts w:ascii="Arial Black" w:hAnsi="Arial Black"/>
        </w:rPr>
        <w:t>Call-in waived by the Chair of Overview and Scrutiny Committee</w:t>
      </w:r>
    </w:p>
    <w:p w14:paraId="3843B043" w14:textId="77777777" w:rsidR="00842757" w:rsidRPr="00424E06" w:rsidRDefault="00842757" w:rsidP="00A53B04">
      <w:pPr>
        <w:pStyle w:val="Infotext"/>
        <w:rPr>
          <w:i/>
          <w:sz w:val="24"/>
          <w:szCs w:val="24"/>
        </w:rPr>
      </w:pPr>
      <w:r w:rsidRPr="00424E06">
        <w:rPr>
          <w:i/>
          <w:sz w:val="24"/>
          <w:szCs w:val="24"/>
        </w:rPr>
        <w:t>(for completion by Democratic Services staff only)</w:t>
      </w:r>
    </w:p>
    <w:p w14:paraId="17CDBD67" w14:textId="77777777" w:rsidR="00842757" w:rsidRPr="00424E06" w:rsidRDefault="00842757" w:rsidP="00842757">
      <w:pPr>
        <w:pStyle w:val="Infotext"/>
        <w:spacing w:before="240"/>
      </w:pPr>
      <w:r w:rsidRPr="00424E06">
        <w:rPr>
          <w:b/>
        </w:rPr>
        <w:t>YES/ NO / NOT APPLICABLE</w:t>
      </w:r>
      <w:r w:rsidRPr="00424E06">
        <w:t>*</w:t>
      </w:r>
    </w:p>
    <w:p w14:paraId="4AE7E1B3" w14:textId="77777777" w:rsidR="00842757" w:rsidRPr="00424E06" w:rsidRDefault="00842757" w:rsidP="00A53B04">
      <w:pPr>
        <w:pStyle w:val="Infotext"/>
        <w:rPr>
          <w:i/>
          <w:color w:val="FF0000"/>
          <w:sz w:val="24"/>
          <w:szCs w:val="24"/>
        </w:rPr>
      </w:pPr>
      <w:r w:rsidRPr="00424E06">
        <w:rPr>
          <w:i/>
          <w:color w:val="FF0000"/>
          <w:sz w:val="24"/>
          <w:szCs w:val="24"/>
        </w:rPr>
        <w:t>*  Delete as appropriate</w:t>
      </w:r>
    </w:p>
    <w:p w14:paraId="3CCA5C3B" w14:textId="77777777" w:rsidR="000D4E36" w:rsidRDefault="00842757" w:rsidP="00ED6776">
      <w:pPr>
        <w:pStyle w:val="Infotext"/>
        <w:tabs>
          <w:tab w:val="left" w:pos="3768"/>
          <w:tab w:val="left" w:pos="4315"/>
        </w:tabs>
        <w:rPr>
          <w:rFonts w:cs="Arial"/>
          <w:i/>
          <w:color w:val="FF0000"/>
          <w:sz w:val="24"/>
          <w:szCs w:val="24"/>
          <w:lang w:eastAsia="en-GB"/>
        </w:rPr>
      </w:pPr>
      <w:r w:rsidRPr="00424E06">
        <w:rPr>
          <w:rFonts w:cs="Arial"/>
          <w:i/>
          <w:color w:val="FF0000"/>
          <w:sz w:val="24"/>
          <w:szCs w:val="24"/>
        </w:rPr>
        <w:t>I</w:t>
      </w:r>
      <w:r w:rsidRPr="00424E06">
        <w:rPr>
          <w:rFonts w:cs="Arial"/>
          <w:i/>
          <w:color w:val="FF0000"/>
          <w:sz w:val="24"/>
          <w:szCs w:val="24"/>
          <w:lang w:eastAsia="en-GB"/>
        </w:rPr>
        <w:t>f Yes, set out why the decision is urgent with reference to 4b - Rule 47 of the Constitution.</w:t>
      </w:r>
    </w:p>
    <w:p w14:paraId="00ABA489" w14:textId="77777777" w:rsidR="00936D32" w:rsidRDefault="00936D32" w:rsidP="00ED6776">
      <w:pPr>
        <w:pStyle w:val="Infotext"/>
        <w:tabs>
          <w:tab w:val="left" w:pos="3768"/>
          <w:tab w:val="left" w:pos="4315"/>
        </w:tabs>
        <w:rPr>
          <w:rFonts w:cs="Arial"/>
          <w:i/>
          <w:color w:val="FF0000"/>
          <w:sz w:val="24"/>
          <w:szCs w:val="24"/>
          <w:lang w:eastAsia="en-GB"/>
        </w:rPr>
      </w:pPr>
    </w:p>
    <w:p w14:paraId="7E3B8725" w14:textId="4CBC92AC" w:rsidR="00936D32" w:rsidRDefault="00936D32">
      <w:pPr>
        <w:rPr>
          <w:rFonts w:cs="Arial"/>
          <w:i/>
          <w:color w:val="FF0000"/>
          <w:szCs w:val="24"/>
          <w:lang w:eastAsia="en-GB"/>
        </w:rPr>
      </w:pPr>
      <w:r>
        <w:rPr>
          <w:rFonts w:cs="Arial"/>
          <w:i/>
          <w:color w:val="FF0000"/>
          <w:szCs w:val="24"/>
          <w:lang w:eastAsia="en-GB"/>
        </w:rPr>
        <w:br w:type="page"/>
      </w:r>
    </w:p>
    <w:p w14:paraId="7953B09D" w14:textId="0B3730A0" w:rsidR="00936D32" w:rsidRPr="001C7C74" w:rsidRDefault="00936D32" w:rsidP="00ED6776">
      <w:pPr>
        <w:pStyle w:val="Infotext"/>
        <w:tabs>
          <w:tab w:val="left" w:pos="3768"/>
          <w:tab w:val="left" w:pos="4315"/>
        </w:tabs>
        <w:rPr>
          <w:rFonts w:cs="Arial"/>
          <w:b/>
          <w:bCs/>
          <w:i/>
          <w:sz w:val="24"/>
          <w:szCs w:val="24"/>
          <w:lang w:eastAsia="en-GB"/>
        </w:rPr>
      </w:pPr>
      <w:r w:rsidRPr="001C7C74">
        <w:rPr>
          <w:rFonts w:cs="Arial"/>
          <w:b/>
          <w:bCs/>
          <w:i/>
          <w:sz w:val="24"/>
          <w:szCs w:val="24"/>
          <w:lang w:eastAsia="en-GB"/>
        </w:rPr>
        <w:lastRenderedPageBreak/>
        <w:t xml:space="preserve">Appendix 1 – Current Core Strategy </w:t>
      </w:r>
      <w:r w:rsidR="00246DEA" w:rsidRPr="001C7C74">
        <w:rPr>
          <w:rFonts w:cs="Arial"/>
          <w:b/>
          <w:bCs/>
          <w:i/>
          <w:sz w:val="24"/>
          <w:szCs w:val="24"/>
          <w:lang w:eastAsia="en-GB"/>
        </w:rPr>
        <w:t xml:space="preserve">(2012) </w:t>
      </w:r>
      <w:r w:rsidRPr="001C7C74">
        <w:rPr>
          <w:rFonts w:cs="Arial"/>
          <w:b/>
          <w:bCs/>
          <w:i/>
          <w:sz w:val="24"/>
          <w:szCs w:val="24"/>
          <w:lang w:eastAsia="en-GB"/>
        </w:rPr>
        <w:t>– Spatial Vision</w:t>
      </w:r>
      <w:r w:rsidR="00B16398" w:rsidRPr="001C7C74">
        <w:rPr>
          <w:rFonts w:cs="Arial"/>
          <w:b/>
          <w:bCs/>
          <w:i/>
          <w:sz w:val="24"/>
          <w:szCs w:val="24"/>
          <w:lang w:eastAsia="en-GB"/>
        </w:rPr>
        <w:t xml:space="preserve"> and Strategic Objectives</w:t>
      </w:r>
    </w:p>
    <w:p w14:paraId="756D8880" w14:textId="77777777" w:rsidR="00936D32" w:rsidRDefault="00936D32" w:rsidP="00ED6776">
      <w:pPr>
        <w:pStyle w:val="Infotext"/>
        <w:tabs>
          <w:tab w:val="left" w:pos="3768"/>
          <w:tab w:val="left" w:pos="4315"/>
        </w:tabs>
        <w:rPr>
          <w:rFonts w:cs="Arial"/>
          <w:i/>
          <w:sz w:val="24"/>
          <w:szCs w:val="24"/>
          <w:lang w:eastAsia="en-GB"/>
        </w:rPr>
      </w:pPr>
    </w:p>
    <w:p w14:paraId="6B0A99C5" w14:textId="25AF7698" w:rsidR="00936D32" w:rsidRDefault="00936D32" w:rsidP="00ED6776">
      <w:pPr>
        <w:pStyle w:val="Infotext"/>
        <w:tabs>
          <w:tab w:val="left" w:pos="3768"/>
          <w:tab w:val="left" w:pos="4315"/>
        </w:tabs>
        <w:rPr>
          <w:rFonts w:cs="Arial"/>
          <w:i/>
          <w:sz w:val="24"/>
          <w:szCs w:val="24"/>
          <w:lang w:eastAsia="en-GB"/>
        </w:rPr>
      </w:pPr>
      <w:r>
        <w:rPr>
          <w:noProof/>
        </w:rPr>
        <w:drawing>
          <wp:inline distT="0" distB="0" distL="0" distR="0" wp14:anchorId="399ED9C3" wp14:editId="48B28DA2">
            <wp:extent cx="5276215" cy="7661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6215" cy="7661275"/>
                    </a:xfrm>
                    <a:prstGeom prst="rect">
                      <a:avLst/>
                    </a:prstGeom>
                  </pic:spPr>
                </pic:pic>
              </a:graphicData>
            </a:graphic>
          </wp:inline>
        </w:drawing>
      </w:r>
    </w:p>
    <w:p w14:paraId="57655A7E" w14:textId="77777777" w:rsidR="00936D32" w:rsidRDefault="00936D32">
      <w:pPr>
        <w:rPr>
          <w:rFonts w:cs="Arial"/>
          <w:i/>
          <w:szCs w:val="24"/>
          <w:lang w:eastAsia="en-GB"/>
        </w:rPr>
      </w:pPr>
      <w:r>
        <w:rPr>
          <w:rFonts w:cs="Arial"/>
          <w:i/>
          <w:szCs w:val="24"/>
          <w:lang w:eastAsia="en-GB"/>
        </w:rPr>
        <w:br w:type="page"/>
      </w:r>
    </w:p>
    <w:p w14:paraId="587BEFE8" w14:textId="23AD6C82" w:rsidR="00087DE2" w:rsidRDefault="00087DE2" w:rsidP="00ED6776">
      <w:pPr>
        <w:pStyle w:val="Infotext"/>
        <w:tabs>
          <w:tab w:val="left" w:pos="3768"/>
          <w:tab w:val="left" w:pos="4315"/>
        </w:tabs>
        <w:rPr>
          <w:rFonts w:cs="Arial"/>
          <w:i/>
          <w:sz w:val="24"/>
          <w:szCs w:val="24"/>
          <w:lang w:eastAsia="en-GB"/>
        </w:rPr>
      </w:pPr>
      <w:r>
        <w:rPr>
          <w:noProof/>
        </w:rPr>
        <w:lastRenderedPageBreak/>
        <w:drawing>
          <wp:inline distT="0" distB="0" distL="0" distR="0" wp14:anchorId="2D26F029" wp14:editId="1BCEEE23">
            <wp:extent cx="5276215" cy="76987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6215" cy="7698740"/>
                    </a:xfrm>
                    <a:prstGeom prst="rect">
                      <a:avLst/>
                    </a:prstGeom>
                  </pic:spPr>
                </pic:pic>
              </a:graphicData>
            </a:graphic>
          </wp:inline>
        </w:drawing>
      </w:r>
    </w:p>
    <w:p w14:paraId="4F288035" w14:textId="77777777" w:rsidR="00087DE2" w:rsidRDefault="00087DE2">
      <w:pPr>
        <w:rPr>
          <w:rFonts w:cs="Arial"/>
          <w:i/>
          <w:szCs w:val="24"/>
          <w:lang w:eastAsia="en-GB"/>
        </w:rPr>
      </w:pPr>
      <w:r>
        <w:rPr>
          <w:rFonts w:cs="Arial"/>
          <w:i/>
          <w:szCs w:val="24"/>
          <w:lang w:eastAsia="en-GB"/>
        </w:rPr>
        <w:br w:type="page"/>
      </w:r>
    </w:p>
    <w:p w14:paraId="4A93D05D" w14:textId="77777777" w:rsidR="00936D32" w:rsidRDefault="00936D32" w:rsidP="00ED6776">
      <w:pPr>
        <w:pStyle w:val="Infotext"/>
        <w:tabs>
          <w:tab w:val="left" w:pos="3768"/>
          <w:tab w:val="left" w:pos="4315"/>
        </w:tabs>
        <w:rPr>
          <w:rFonts w:cs="Arial"/>
          <w:i/>
          <w:sz w:val="24"/>
          <w:szCs w:val="24"/>
          <w:lang w:eastAsia="en-GB"/>
        </w:rPr>
      </w:pPr>
    </w:p>
    <w:p w14:paraId="72E06020" w14:textId="22428468" w:rsidR="00FC1837" w:rsidRPr="00424E06" w:rsidRDefault="006E6A62" w:rsidP="00ED6776">
      <w:pPr>
        <w:pStyle w:val="Infotext"/>
        <w:tabs>
          <w:tab w:val="left" w:pos="3768"/>
          <w:tab w:val="left" w:pos="4315"/>
        </w:tabs>
        <w:rPr>
          <w:rFonts w:cs="Arial"/>
          <w:i/>
          <w:sz w:val="24"/>
          <w:szCs w:val="24"/>
          <w:lang w:eastAsia="en-GB"/>
        </w:rPr>
      </w:pPr>
      <w:r w:rsidRPr="006E6A62">
        <w:rPr>
          <w:rFonts w:cs="Arial"/>
          <w:i/>
          <w:noProof/>
          <w:sz w:val="24"/>
          <w:szCs w:val="24"/>
          <w:lang w:eastAsia="en-GB"/>
        </w:rPr>
        <mc:AlternateContent>
          <mc:Choice Requires="wps">
            <w:drawing>
              <wp:anchor distT="45720" distB="45720" distL="114300" distR="114300" simplePos="0" relativeHeight="251659264" behindDoc="0" locked="0" layoutInCell="1" allowOverlap="1" wp14:anchorId="6CDE49B1" wp14:editId="3AFEAE8D">
                <wp:simplePos x="0" y="0"/>
                <wp:positionH relativeFrom="column">
                  <wp:posOffset>2571750</wp:posOffset>
                </wp:positionH>
                <wp:positionV relativeFrom="paragraph">
                  <wp:posOffset>5097780</wp:posOffset>
                </wp:positionV>
                <wp:extent cx="3000375" cy="27336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33675"/>
                        </a:xfrm>
                        <a:prstGeom prst="rect">
                          <a:avLst/>
                        </a:prstGeom>
                        <a:solidFill>
                          <a:srgbClr val="FFFFFF"/>
                        </a:solidFill>
                        <a:ln w="9525">
                          <a:noFill/>
                          <a:miter lim="800000"/>
                          <a:headEnd/>
                          <a:tailEnd/>
                        </a:ln>
                      </wps:spPr>
                      <wps:txbx>
                        <w:txbxContent>
                          <w:p w14:paraId="1151469B" w14:textId="0E54EE70" w:rsidR="006E6A62" w:rsidRDefault="006E6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E49B1" id="_x0000_t202" coordsize="21600,21600" o:spt="202" path="m,l,21600r21600,l21600,xe">
                <v:stroke joinstyle="miter"/>
                <v:path gradientshapeok="t" o:connecttype="rect"/>
              </v:shapetype>
              <v:shape id="Text Box 2" o:spid="_x0000_s1026" type="#_x0000_t202" style="position:absolute;margin-left:202.5pt;margin-top:401.4pt;width:236.25pt;height:2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" stroked="f">
                <v:textbox>
                  <w:txbxContent>
                    <w:p w14:paraId="1151469B" w14:textId="0E54EE70" w:rsidR="006E6A62" w:rsidRDefault="006E6A62"/>
                  </w:txbxContent>
                </v:textbox>
              </v:shape>
            </w:pict>
          </mc:Fallback>
        </mc:AlternateContent>
      </w:r>
      <w:r w:rsidR="00FC1837">
        <w:rPr>
          <w:noProof/>
        </w:rPr>
        <w:drawing>
          <wp:inline distT="0" distB="0" distL="0" distR="0" wp14:anchorId="4E9C0CCB" wp14:editId="7D9EFF59">
            <wp:extent cx="5276215" cy="79470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6215" cy="7947025"/>
                    </a:xfrm>
                    <a:prstGeom prst="rect">
                      <a:avLst/>
                    </a:prstGeom>
                  </pic:spPr>
                </pic:pic>
              </a:graphicData>
            </a:graphic>
          </wp:inline>
        </w:drawing>
      </w:r>
    </w:p>
    <w:sectPr w:rsidR="00FC1837" w:rsidRPr="00424E06" w:rsidSect="001614E0">
      <w:headerReference w:type="default" r:id="rId20"/>
      <w:footerReference w:type="default" r:id="rId21"/>
      <w:headerReference w:type="first" r:id="rId22"/>
      <w:footerReference w:type="first" r:id="rId23"/>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4003" w14:textId="77777777" w:rsidR="004F6DD6" w:rsidRDefault="004F6DD6">
      <w:r>
        <w:separator/>
      </w:r>
    </w:p>
  </w:endnote>
  <w:endnote w:type="continuationSeparator" w:id="0">
    <w:p w14:paraId="1D01AF45" w14:textId="77777777" w:rsidR="004F6DD6" w:rsidRDefault="004F6DD6">
      <w:r>
        <w:continuationSeparator/>
      </w:r>
    </w:p>
  </w:endnote>
  <w:endnote w:type="continuationNotice" w:id="1">
    <w:p w14:paraId="73C0EC52" w14:textId="77777777" w:rsidR="004F6DD6" w:rsidRDefault="004F6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C1BC954" w14:paraId="7E93067A" w14:textId="77777777" w:rsidTr="1C1BC954">
      <w:trPr>
        <w:trHeight w:val="300"/>
      </w:trPr>
      <w:tc>
        <w:tcPr>
          <w:tcW w:w="2765" w:type="dxa"/>
        </w:tcPr>
        <w:p w14:paraId="06AB4980" w14:textId="52092B54" w:rsidR="1C1BC954" w:rsidRDefault="1C1BC954" w:rsidP="1C1BC954">
          <w:pPr>
            <w:pStyle w:val="Header"/>
            <w:ind w:left="-115"/>
          </w:pPr>
        </w:p>
      </w:tc>
      <w:tc>
        <w:tcPr>
          <w:tcW w:w="2765" w:type="dxa"/>
        </w:tcPr>
        <w:p w14:paraId="56582AE3" w14:textId="05D4CF4D" w:rsidR="1C1BC954" w:rsidRDefault="1C1BC954" w:rsidP="1C1BC954">
          <w:pPr>
            <w:pStyle w:val="Header"/>
            <w:jc w:val="center"/>
          </w:pPr>
        </w:p>
      </w:tc>
      <w:tc>
        <w:tcPr>
          <w:tcW w:w="2765" w:type="dxa"/>
        </w:tcPr>
        <w:p w14:paraId="5CDAD886" w14:textId="7F6DE473" w:rsidR="1C1BC954" w:rsidRDefault="1C1BC954" w:rsidP="1C1BC954">
          <w:pPr>
            <w:pStyle w:val="Header"/>
            <w:ind w:right="-115"/>
            <w:jc w:val="right"/>
          </w:pPr>
        </w:p>
      </w:tc>
    </w:tr>
  </w:tbl>
  <w:p w14:paraId="3C6EF298" w14:textId="48A573F7" w:rsidR="00CB6164" w:rsidRDefault="00CB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2BBC" w14:textId="77777777" w:rsidR="004F6DD6" w:rsidRDefault="004F6DD6">
      <w:r>
        <w:separator/>
      </w:r>
    </w:p>
  </w:footnote>
  <w:footnote w:type="continuationSeparator" w:id="0">
    <w:p w14:paraId="2873B1CC" w14:textId="77777777" w:rsidR="004F6DD6" w:rsidRDefault="004F6DD6">
      <w:r>
        <w:continuationSeparator/>
      </w:r>
    </w:p>
  </w:footnote>
  <w:footnote w:type="continuationNotice" w:id="1">
    <w:p w14:paraId="27593415" w14:textId="77777777" w:rsidR="004F6DD6" w:rsidRDefault="004F6DD6"/>
  </w:footnote>
  <w:footnote w:id="2">
    <w:p w14:paraId="2B311964" w14:textId="664C3EA9" w:rsidR="00BF61CB" w:rsidRPr="00BF61CB" w:rsidRDefault="00BF61CB">
      <w:pPr>
        <w:pStyle w:val="FootnoteText"/>
        <w:rPr>
          <w:rFonts w:ascii="Arial" w:hAnsi="Arial" w:cs="Arial"/>
        </w:rPr>
      </w:pPr>
      <w:r w:rsidRPr="00BF61CB">
        <w:rPr>
          <w:rStyle w:val="FootnoteReference"/>
          <w:rFonts w:ascii="Arial" w:hAnsi="Arial" w:cs="Arial"/>
        </w:rPr>
        <w:footnoteRef/>
      </w:r>
      <w:r w:rsidRPr="00BF61CB">
        <w:rPr>
          <w:rFonts w:ascii="Arial" w:hAnsi="Arial" w:cs="Arial"/>
        </w:rPr>
        <w:t xml:space="preserve"> Now an Opportunity Area</w:t>
      </w:r>
    </w:p>
  </w:footnote>
  <w:footnote w:id="3">
    <w:p w14:paraId="26734F63" w14:textId="5AEA1DF4" w:rsidR="00B61FA8" w:rsidRPr="00B61FA8" w:rsidRDefault="00B61FA8">
      <w:pPr>
        <w:pStyle w:val="FootnoteText"/>
        <w:rPr>
          <w:rFonts w:asciiTheme="minorHAnsi" w:hAnsiTheme="minorHAnsi" w:cstheme="minorHAnsi"/>
        </w:rPr>
      </w:pPr>
      <w:r w:rsidRPr="00B61FA8">
        <w:rPr>
          <w:rStyle w:val="FootnoteReference"/>
          <w:rFonts w:asciiTheme="minorHAnsi" w:hAnsiTheme="minorHAnsi" w:cstheme="minorHAnsi"/>
        </w:rPr>
        <w:footnoteRef/>
      </w:r>
      <w:r w:rsidRPr="00B61FA8">
        <w:rPr>
          <w:rFonts w:asciiTheme="minorHAnsi" w:hAnsiTheme="minorHAnsi" w:cstheme="minorHAnsi"/>
        </w:rPr>
        <w:t xml:space="preserve"> See </w:t>
      </w:r>
      <w:hyperlink r:id="rId1" w:history="1">
        <w:r w:rsidRPr="00B61FA8">
          <w:rPr>
            <w:rStyle w:val="Hyperlink"/>
            <w:rFonts w:asciiTheme="minorHAnsi" w:hAnsiTheme="minorHAnsi" w:cstheme="minorHAnsi"/>
          </w:rPr>
          <w:t>Local Plans (harrow.gov.uk)</w:t>
        </w:r>
      </w:hyperlink>
    </w:p>
  </w:footnote>
  <w:footnote w:id="4">
    <w:p w14:paraId="18769E47" w14:textId="37B4E6AD" w:rsidR="00B565A9" w:rsidRPr="00B565A9" w:rsidRDefault="00B565A9">
      <w:pPr>
        <w:pStyle w:val="FootnoteText"/>
        <w:rPr>
          <w:rFonts w:ascii="Arial" w:hAnsi="Arial" w:cs="Arial"/>
        </w:rPr>
      </w:pPr>
      <w:r w:rsidRPr="00B565A9">
        <w:rPr>
          <w:rStyle w:val="FootnoteReference"/>
          <w:rFonts w:ascii="Arial" w:hAnsi="Arial" w:cs="Arial"/>
        </w:rPr>
        <w:footnoteRef/>
      </w:r>
      <w:r w:rsidRPr="00B565A9">
        <w:rPr>
          <w:rFonts w:ascii="Arial" w:hAnsi="Arial" w:cs="Arial"/>
        </w:rPr>
        <w:t xml:space="preserve"> See </w:t>
      </w:r>
      <w:hyperlink r:id="rId2" w:history="1">
        <w:r w:rsidRPr="00B565A9">
          <w:rPr>
            <w:rStyle w:val="Hyperlink"/>
            <w:rFonts w:ascii="Arial" w:hAnsi="Arial" w:cs="Arial"/>
          </w:rPr>
          <w:t>https://moderngov.harrow.gov.uk/documents/s179826/Local%20Development%20Scheme%20-%20Background%20Paper%20Legislative%20Risk.pdf</w:t>
        </w:r>
      </w:hyperlink>
      <w:r w:rsidRPr="00B565A9">
        <w:rPr>
          <w:rFonts w:ascii="Arial" w:hAnsi="Arial" w:cs="Arial"/>
        </w:rPr>
        <w:t xml:space="preserve"> </w:t>
      </w:r>
    </w:p>
  </w:footnote>
  <w:footnote w:id="5">
    <w:p w14:paraId="4A84FBC3" w14:textId="77777777" w:rsidR="00772CB6" w:rsidRPr="0030630A" w:rsidRDefault="00772CB6" w:rsidP="00772CB6">
      <w:pPr>
        <w:pStyle w:val="FootnoteText"/>
        <w:rPr>
          <w:rFonts w:ascii="Arial" w:hAnsi="Arial" w:cs="Arial"/>
        </w:rPr>
      </w:pPr>
      <w:r w:rsidRPr="0030630A">
        <w:rPr>
          <w:rStyle w:val="FootnoteReference"/>
          <w:rFonts w:ascii="Arial" w:hAnsi="Arial" w:cs="Arial"/>
        </w:rPr>
        <w:footnoteRef/>
      </w:r>
      <w:r w:rsidRPr="0030630A">
        <w:rPr>
          <w:rFonts w:ascii="Arial" w:hAnsi="Arial" w:cs="Arial"/>
        </w:rPr>
        <w:t xml:space="preserve"> NPPF, paragraph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D26"/>
    <w:multiLevelType w:val="hybridMultilevel"/>
    <w:tmpl w:val="24B22FD8"/>
    <w:lvl w:ilvl="0" w:tplc="B7782A00">
      <w:start w:val="1"/>
      <w:numFmt w:val="bullet"/>
      <w:lvlText w:val="●"/>
      <w:lvlJc w:val="left"/>
      <w:pPr>
        <w:tabs>
          <w:tab w:val="num" w:pos="720"/>
        </w:tabs>
        <w:ind w:left="720" w:hanging="360"/>
      </w:pPr>
      <w:rPr>
        <w:rFonts w:ascii="Arial" w:hAnsi="Arial" w:hint="default"/>
      </w:rPr>
    </w:lvl>
    <w:lvl w:ilvl="1" w:tplc="9FE20F22">
      <w:numFmt w:val="bullet"/>
      <w:lvlText w:val="–"/>
      <w:lvlJc w:val="left"/>
      <w:pPr>
        <w:tabs>
          <w:tab w:val="num" w:pos="1440"/>
        </w:tabs>
        <w:ind w:left="1440" w:hanging="360"/>
      </w:pPr>
      <w:rPr>
        <w:rFonts w:ascii="Times New Roman" w:hAnsi="Times New Roman" w:hint="default"/>
      </w:rPr>
    </w:lvl>
    <w:lvl w:ilvl="2" w:tplc="E4DA21EE">
      <w:numFmt w:val="bullet"/>
      <w:lvlText w:val="•"/>
      <w:lvlJc w:val="left"/>
      <w:pPr>
        <w:tabs>
          <w:tab w:val="num" w:pos="2160"/>
        </w:tabs>
        <w:ind w:left="2160" w:hanging="360"/>
      </w:pPr>
      <w:rPr>
        <w:rFonts w:ascii="Times New Roman" w:hAnsi="Times New Roman" w:hint="default"/>
      </w:rPr>
    </w:lvl>
    <w:lvl w:ilvl="3" w:tplc="F548904C" w:tentative="1">
      <w:start w:val="1"/>
      <w:numFmt w:val="bullet"/>
      <w:lvlText w:val="●"/>
      <w:lvlJc w:val="left"/>
      <w:pPr>
        <w:tabs>
          <w:tab w:val="num" w:pos="2880"/>
        </w:tabs>
        <w:ind w:left="2880" w:hanging="360"/>
      </w:pPr>
      <w:rPr>
        <w:rFonts w:ascii="Arial" w:hAnsi="Arial" w:hint="default"/>
      </w:rPr>
    </w:lvl>
    <w:lvl w:ilvl="4" w:tplc="5E926BFE" w:tentative="1">
      <w:start w:val="1"/>
      <w:numFmt w:val="bullet"/>
      <w:lvlText w:val="●"/>
      <w:lvlJc w:val="left"/>
      <w:pPr>
        <w:tabs>
          <w:tab w:val="num" w:pos="3600"/>
        </w:tabs>
        <w:ind w:left="3600" w:hanging="360"/>
      </w:pPr>
      <w:rPr>
        <w:rFonts w:ascii="Arial" w:hAnsi="Arial" w:hint="default"/>
      </w:rPr>
    </w:lvl>
    <w:lvl w:ilvl="5" w:tplc="7B5E2256" w:tentative="1">
      <w:start w:val="1"/>
      <w:numFmt w:val="bullet"/>
      <w:lvlText w:val="●"/>
      <w:lvlJc w:val="left"/>
      <w:pPr>
        <w:tabs>
          <w:tab w:val="num" w:pos="4320"/>
        </w:tabs>
        <w:ind w:left="4320" w:hanging="360"/>
      </w:pPr>
      <w:rPr>
        <w:rFonts w:ascii="Arial" w:hAnsi="Arial" w:hint="default"/>
      </w:rPr>
    </w:lvl>
    <w:lvl w:ilvl="6" w:tplc="961AEA32" w:tentative="1">
      <w:start w:val="1"/>
      <w:numFmt w:val="bullet"/>
      <w:lvlText w:val="●"/>
      <w:lvlJc w:val="left"/>
      <w:pPr>
        <w:tabs>
          <w:tab w:val="num" w:pos="5040"/>
        </w:tabs>
        <w:ind w:left="5040" w:hanging="360"/>
      </w:pPr>
      <w:rPr>
        <w:rFonts w:ascii="Arial" w:hAnsi="Arial" w:hint="default"/>
      </w:rPr>
    </w:lvl>
    <w:lvl w:ilvl="7" w:tplc="1D7A518E" w:tentative="1">
      <w:start w:val="1"/>
      <w:numFmt w:val="bullet"/>
      <w:lvlText w:val="●"/>
      <w:lvlJc w:val="left"/>
      <w:pPr>
        <w:tabs>
          <w:tab w:val="num" w:pos="5760"/>
        </w:tabs>
        <w:ind w:left="5760" w:hanging="360"/>
      </w:pPr>
      <w:rPr>
        <w:rFonts w:ascii="Arial" w:hAnsi="Arial" w:hint="default"/>
      </w:rPr>
    </w:lvl>
    <w:lvl w:ilvl="8" w:tplc="3CE0BD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74BC3"/>
    <w:multiLevelType w:val="hybridMultilevel"/>
    <w:tmpl w:val="85602358"/>
    <w:lvl w:ilvl="0" w:tplc="4448D780">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D7E1A"/>
    <w:multiLevelType w:val="hybridMultilevel"/>
    <w:tmpl w:val="03E8296C"/>
    <w:lvl w:ilvl="0" w:tplc="93081072">
      <w:start w:val="1"/>
      <w:numFmt w:val="bullet"/>
      <w:lvlText w:val="●"/>
      <w:lvlJc w:val="left"/>
      <w:pPr>
        <w:tabs>
          <w:tab w:val="num" w:pos="720"/>
        </w:tabs>
        <w:ind w:left="720" w:hanging="360"/>
      </w:pPr>
      <w:rPr>
        <w:rFonts w:ascii="Arial" w:hAnsi="Arial" w:hint="default"/>
      </w:rPr>
    </w:lvl>
    <w:lvl w:ilvl="1" w:tplc="2E1069CA">
      <w:start w:val="1"/>
      <w:numFmt w:val="bullet"/>
      <w:lvlText w:val="●"/>
      <w:lvlJc w:val="left"/>
      <w:pPr>
        <w:tabs>
          <w:tab w:val="num" w:pos="1440"/>
        </w:tabs>
        <w:ind w:left="1440" w:hanging="360"/>
      </w:pPr>
      <w:rPr>
        <w:rFonts w:ascii="Arial" w:hAnsi="Arial" w:hint="default"/>
      </w:rPr>
    </w:lvl>
    <w:lvl w:ilvl="2" w:tplc="DED65C94" w:tentative="1">
      <w:start w:val="1"/>
      <w:numFmt w:val="bullet"/>
      <w:lvlText w:val="●"/>
      <w:lvlJc w:val="left"/>
      <w:pPr>
        <w:tabs>
          <w:tab w:val="num" w:pos="2160"/>
        </w:tabs>
        <w:ind w:left="2160" w:hanging="360"/>
      </w:pPr>
      <w:rPr>
        <w:rFonts w:ascii="Arial" w:hAnsi="Arial" w:hint="default"/>
      </w:rPr>
    </w:lvl>
    <w:lvl w:ilvl="3" w:tplc="18FE1824" w:tentative="1">
      <w:start w:val="1"/>
      <w:numFmt w:val="bullet"/>
      <w:lvlText w:val="●"/>
      <w:lvlJc w:val="left"/>
      <w:pPr>
        <w:tabs>
          <w:tab w:val="num" w:pos="2880"/>
        </w:tabs>
        <w:ind w:left="2880" w:hanging="360"/>
      </w:pPr>
      <w:rPr>
        <w:rFonts w:ascii="Arial" w:hAnsi="Arial" w:hint="default"/>
      </w:rPr>
    </w:lvl>
    <w:lvl w:ilvl="4" w:tplc="63D44130" w:tentative="1">
      <w:start w:val="1"/>
      <w:numFmt w:val="bullet"/>
      <w:lvlText w:val="●"/>
      <w:lvlJc w:val="left"/>
      <w:pPr>
        <w:tabs>
          <w:tab w:val="num" w:pos="3600"/>
        </w:tabs>
        <w:ind w:left="3600" w:hanging="360"/>
      </w:pPr>
      <w:rPr>
        <w:rFonts w:ascii="Arial" w:hAnsi="Arial" w:hint="default"/>
      </w:rPr>
    </w:lvl>
    <w:lvl w:ilvl="5" w:tplc="505674D6" w:tentative="1">
      <w:start w:val="1"/>
      <w:numFmt w:val="bullet"/>
      <w:lvlText w:val="●"/>
      <w:lvlJc w:val="left"/>
      <w:pPr>
        <w:tabs>
          <w:tab w:val="num" w:pos="4320"/>
        </w:tabs>
        <w:ind w:left="4320" w:hanging="360"/>
      </w:pPr>
      <w:rPr>
        <w:rFonts w:ascii="Arial" w:hAnsi="Arial" w:hint="default"/>
      </w:rPr>
    </w:lvl>
    <w:lvl w:ilvl="6" w:tplc="D02E2C4E" w:tentative="1">
      <w:start w:val="1"/>
      <w:numFmt w:val="bullet"/>
      <w:lvlText w:val="●"/>
      <w:lvlJc w:val="left"/>
      <w:pPr>
        <w:tabs>
          <w:tab w:val="num" w:pos="5040"/>
        </w:tabs>
        <w:ind w:left="5040" w:hanging="360"/>
      </w:pPr>
      <w:rPr>
        <w:rFonts w:ascii="Arial" w:hAnsi="Arial" w:hint="default"/>
      </w:rPr>
    </w:lvl>
    <w:lvl w:ilvl="7" w:tplc="082E3D9C" w:tentative="1">
      <w:start w:val="1"/>
      <w:numFmt w:val="bullet"/>
      <w:lvlText w:val="●"/>
      <w:lvlJc w:val="left"/>
      <w:pPr>
        <w:tabs>
          <w:tab w:val="num" w:pos="5760"/>
        </w:tabs>
        <w:ind w:left="5760" w:hanging="360"/>
      </w:pPr>
      <w:rPr>
        <w:rFonts w:ascii="Arial" w:hAnsi="Arial" w:hint="default"/>
      </w:rPr>
    </w:lvl>
    <w:lvl w:ilvl="8" w:tplc="E6A6F2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6D4A1C"/>
    <w:multiLevelType w:val="hybridMultilevel"/>
    <w:tmpl w:val="8AF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9F6FC2"/>
    <w:multiLevelType w:val="hybridMultilevel"/>
    <w:tmpl w:val="7520BBCA"/>
    <w:lvl w:ilvl="0" w:tplc="B4AA88CA">
      <w:start w:val="1"/>
      <w:numFmt w:val="bullet"/>
      <w:lvlText w:val="●"/>
      <w:lvlJc w:val="left"/>
      <w:pPr>
        <w:tabs>
          <w:tab w:val="num" w:pos="720"/>
        </w:tabs>
        <w:ind w:left="720" w:hanging="360"/>
      </w:pPr>
      <w:rPr>
        <w:rFonts w:ascii="Arial" w:hAnsi="Arial" w:hint="default"/>
      </w:rPr>
    </w:lvl>
    <w:lvl w:ilvl="1" w:tplc="5900D79C" w:tentative="1">
      <w:start w:val="1"/>
      <w:numFmt w:val="bullet"/>
      <w:lvlText w:val="●"/>
      <w:lvlJc w:val="left"/>
      <w:pPr>
        <w:tabs>
          <w:tab w:val="num" w:pos="1440"/>
        </w:tabs>
        <w:ind w:left="1440" w:hanging="360"/>
      </w:pPr>
      <w:rPr>
        <w:rFonts w:ascii="Arial" w:hAnsi="Arial" w:hint="default"/>
      </w:rPr>
    </w:lvl>
    <w:lvl w:ilvl="2" w:tplc="05CA89E8" w:tentative="1">
      <w:start w:val="1"/>
      <w:numFmt w:val="bullet"/>
      <w:lvlText w:val="●"/>
      <w:lvlJc w:val="left"/>
      <w:pPr>
        <w:tabs>
          <w:tab w:val="num" w:pos="2160"/>
        </w:tabs>
        <w:ind w:left="2160" w:hanging="360"/>
      </w:pPr>
      <w:rPr>
        <w:rFonts w:ascii="Arial" w:hAnsi="Arial" w:hint="default"/>
      </w:rPr>
    </w:lvl>
    <w:lvl w:ilvl="3" w:tplc="1F788234" w:tentative="1">
      <w:start w:val="1"/>
      <w:numFmt w:val="bullet"/>
      <w:lvlText w:val="●"/>
      <w:lvlJc w:val="left"/>
      <w:pPr>
        <w:tabs>
          <w:tab w:val="num" w:pos="2880"/>
        </w:tabs>
        <w:ind w:left="2880" w:hanging="360"/>
      </w:pPr>
      <w:rPr>
        <w:rFonts w:ascii="Arial" w:hAnsi="Arial" w:hint="default"/>
      </w:rPr>
    </w:lvl>
    <w:lvl w:ilvl="4" w:tplc="AEA0E416" w:tentative="1">
      <w:start w:val="1"/>
      <w:numFmt w:val="bullet"/>
      <w:lvlText w:val="●"/>
      <w:lvlJc w:val="left"/>
      <w:pPr>
        <w:tabs>
          <w:tab w:val="num" w:pos="3600"/>
        </w:tabs>
        <w:ind w:left="3600" w:hanging="360"/>
      </w:pPr>
      <w:rPr>
        <w:rFonts w:ascii="Arial" w:hAnsi="Arial" w:hint="default"/>
      </w:rPr>
    </w:lvl>
    <w:lvl w:ilvl="5" w:tplc="BBBA5E32" w:tentative="1">
      <w:start w:val="1"/>
      <w:numFmt w:val="bullet"/>
      <w:lvlText w:val="●"/>
      <w:lvlJc w:val="left"/>
      <w:pPr>
        <w:tabs>
          <w:tab w:val="num" w:pos="4320"/>
        </w:tabs>
        <w:ind w:left="4320" w:hanging="360"/>
      </w:pPr>
      <w:rPr>
        <w:rFonts w:ascii="Arial" w:hAnsi="Arial" w:hint="default"/>
      </w:rPr>
    </w:lvl>
    <w:lvl w:ilvl="6" w:tplc="1D7C6138" w:tentative="1">
      <w:start w:val="1"/>
      <w:numFmt w:val="bullet"/>
      <w:lvlText w:val="●"/>
      <w:lvlJc w:val="left"/>
      <w:pPr>
        <w:tabs>
          <w:tab w:val="num" w:pos="5040"/>
        </w:tabs>
        <w:ind w:left="5040" w:hanging="360"/>
      </w:pPr>
      <w:rPr>
        <w:rFonts w:ascii="Arial" w:hAnsi="Arial" w:hint="default"/>
      </w:rPr>
    </w:lvl>
    <w:lvl w:ilvl="7" w:tplc="0F7445C0" w:tentative="1">
      <w:start w:val="1"/>
      <w:numFmt w:val="bullet"/>
      <w:lvlText w:val="●"/>
      <w:lvlJc w:val="left"/>
      <w:pPr>
        <w:tabs>
          <w:tab w:val="num" w:pos="5760"/>
        </w:tabs>
        <w:ind w:left="5760" w:hanging="360"/>
      </w:pPr>
      <w:rPr>
        <w:rFonts w:ascii="Arial" w:hAnsi="Arial" w:hint="default"/>
      </w:rPr>
    </w:lvl>
    <w:lvl w:ilvl="8" w:tplc="6D9A3F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C21B71"/>
    <w:multiLevelType w:val="hybridMultilevel"/>
    <w:tmpl w:val="CC7C4246"/>
    <w:lvl w:ilvl="0" w:tplc="F59C1CA4">
      <w:start w:val="1"/>
      <w:numFmt w:val="bullet"/>
      <w:lvlText w:val="●"/>
      <w:lvlJc w:val="left"/>
      <w:pPr>
        <w:tabs>
          <w:tab w:val="num" w:pos="720"/>
        </w:tabs>
        <w:ind w:left="720" w:hanging="360"/>
      </w:pPr>
      <w:rPr>
        <w:rFonts w:ascii="Arial" w:hAnsi="Arial" w:hint="default"/>
      </w:rPr>
    </w:lvl>
    <w:lvl w:ilvl="1" w:tplc="3FCCCD3A">
      <w:numFmt w:val="bullet"/>
      <w:lvlText w:val="–"/>
      <w:lvlJc w:val="left"/>
      <w:pPr>
        <w:tabs>
          <w:tab w:val="num" w:pos="1440"/>
        </w:tabs>
        <w:ind w:left="1440" w:hanging="360"/>
      </w:pPr>
      <w:rPr>
        <w:rFonts w:ascii="Times New Roman" w:hAnsi="Times New Roman" w:hint="default"/>
      </w:rPr>
    </w:lvl>
    <w:lvl w:ilvl="2" w:tplc="C634388E" w:tentative="1">
      <w:start w:val="1"/>
      <w:numFmt w:val="bullet"/>
      <w:lvlText w:val="●"/>
      <w:lvlJc w:val="left"/>
      <w:pPr>
        <w:tabs>
          <w:tab w:val="num" w:pos="2160"/>
        </w:tabs>
        <w:ind w:left="2160" w:hanging="360"/>
      </w:pPr>
      <w:rPr>
        <w:rFonts w:ascii="Arial" w:hAnsi="Arial" w:hint="default"/>
      </w:rPr>
    </w:lvl>
    <w:lvl w:ilvl="3" w:tplc="3272BCCE" w:tentative="1">
      <w:start w:val="1"/>
      <w:numFmt w:val="bullet"/>
      <w:lvlText w:val="●"/>
      <w:lvlJc w:val="left"/>
      <w:pPr>
        <w:tabs>
          <w:tab w:val="num" w:pos="2880"/>
        </w:tabs>
        <w:ind w:left="2880" w:hanging="360"/>
      </w:pPr>
      <w:rPr>
        <w:rFonts w:ascii="Arial" w:hAnsi="Arial" w:hint="default"/>
      </w:rPr>
    </w:lvl>
    <w:lvl w:ilvl="4" w:tplc="9BC2CDD6" w:tentative="1">
      <w:start w:val="1"/>
      <w:numFmt w:val="bullet"/>
      <w:lvlText w:val="●"/>
      <w:lvlJc w:val="left"/>
      <w:pPr>
        <w:tabs>
          <w:tab w:val="num" w:pos="3600"/>
        </w:tabs>
        <w:ind w:left="3600" w:hanging="360"/>
      </w:pPr>
      <w:rPr>
        <w:rFonts w:ascii="Arial" w:hAnsi="Arial" w:hint="default"/>
      </w:rPr>
    </w:lvl>
    <w:lvl w:ilvl="5" w:tplc="3D648D30" w:tentative="1">
      <w:start w:val="1"/>
      <w:numFmt w:val="bullet"/>
      <w:lvlText w:val="●"/>
      <w:lvlJc w:val="left"/>
      <w:pPr>
        <w:tabs>
          <w:tab w:val="num" w:pos="4320"/>
        </w:tabs>
        <w:ind w:left="4320" w:hanging="360"/>
      </w:pPr>
      <w:rPr>
        <w:rFonts w:ascii="Arial" w:hAnsi="Arial" w:hint="default"/>
      </w:rPr>
    </w:lvl>
    <w:lvl w:ilvl="6" w:tplc="D4682C78" w:tentative="1">
      <w:start w:val="1"/>
      <w:numFmt w:val="bullet"/>
      <w:lvlText w:val="●"/>
      <w:lvlJc w:val="left"/>
      <w:pPr>
        <w:tabs>
          <w:tab w:val="num" w:pos="5040"/>
        </w:tabs>
        <w:ind w:left="5040" w:hanging="360"/>
      </w:pPr>
      <w:rPr>
        <w:rFonts w:ascii="Arial" w:hAnsi="Arial" w:hint="default"/>
      </w:rPr>
    </w:lvl>
    <w:lvl w:ilvl="7" w:tplc="4C2A462A" w:tentative="1">
      <w:start w:val="1"/>
      <w:numFmt w:val="bullet"/>
      <w:lvlText w:val="●"/>
      <w:lvlJc w:val="left"/>
      <w:pPr>
        <w:tabs>
          <w:tab w:val="num" w:pos="5760"/>
        </w:tabs>
        <w:ind w:left="5760" w:hanging="360"/>
      </w:pPr>
      <w:rPr>
        <w:rFonts w:ascii="Arial" w:hAnsi="Arial" w:hint="default"/>
      </w:rPr>
    </w:lvl>
    <w:lvl w:ilvl="8" w:tplc="2DBE2B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66635C"/>
    <w:multiLevelType w:val="hybridMultilevel"/>
    <w:tmpl w:val="FB64D094"/>
    <w:lvl w:ilvl="0" w:tplc="7D605156">
      <w:start w:val="1"/>
      <w:numFmt w:val="bullet"/>
      <w:lvlText w:val="–"/>
      <w:lvlJc w:val="left"/>
      <w:pPr>
        <w:tabs>
          <w:tab w:val="num" w:pos="720"/>
        </w:tabs>
        <w:ind w:left="720" w:hanging="360"/>
      </w:pPr>
      <w:rPr>
        <w:rFonts w:ascii="Times New Roman" w:hAnsi="Times New Roman" w:hint="default"/>
      </w:rPr>
    </w:lvl>
    <w:lvl w:ilvl="1" w:tplc="9FF85CCE">
      <w:start w:val="1"/>
      <w:numFmt w:val="bullet"/>
      <w:lvlText w:val="–"/>
      <w:lvlJc w:val="left"/>
      <w:pPr>
        <w:tabs>
          <w:tab w:val="num" w:pos="1440"/>
        </w:tabs>
        <w:ind w:left="1440" w:hanging="360"/>
      </w:pPr>
      <w:rPr>
        <w:rFonts w:ascii="Times New Roman" w:hAnsi="Times New Roman" w:hint="default"/>
      </w:rPr>
    </w:lvl>
    <w:lvl w:ilvl="2" w:tplc="AB4C1C18" w:tentative="1">
      <w:start w:val="1"/>
      <w:numFmt w:val="bullet"/>
      <w:lvlText w:val="–"/>
      <w:lvlJc w:val="left"/>
      <w:pPr>
        <w:tabs>
          <w:tab w:val="num" w:pos="2160"/>
        </w:tabs>
        <w:ind w:left="2160" w:hanging="360"/>
      </w:pPr>
      <w:rPr>
        <w:rFonts w:ascii="Times New Roman" w:hAnsi="Times New Roman" w:hint="default"/>
      </w:rPr>
    </w:lvl>
    <w:lvl w:ilvl="3" w:tplc="1058656C" w:tentative="1">
      <w:start w:val="1"/>
      <w:numFmt w:val="bullet"/>
      <w:lvlText w:val="–"/>
      <w:lvlJc w:val="left"/>
      <w:pPr>
        <w:tabs>
          <w:tab w:val="num" w:pos="2880"/>
        </w:tabs>
        <w:ind w:left="2880" w:hanging="360"/>
      </w:pPr>
      <w:rPr>
        <w:rFonts w:ascii="Times New Roman" w:hAnsi="Times New Roman" w:hint="default"/>
      </w:rPr>
    </w:lvl>
    <w:lvl w:ilvl="4" w:tplc="375E5972" w:tentative="1">
      <w:start w:val="1"/>
      <w:numFmt w:val="bullet"/>
      <w:lvlText w:val="–"/>
      <w:lvlJc w:val="left"/>
      <w:pPr>
        <w:tabs>
          <w:tab w:val="num" w:pos="3600"/>
        </w:tabs>
        <w:ind w:left="3600" w:hanging="360"/>
      </w:pPr>
      <w:rPr>
        <w:rFonts w:ascii="Times New Roman" w:hAnsi="Times New Roman" w:hint="default"/>
      </w:rPr>
    </w:lvl>
    <w:lvl w:ilvl="5" w:tplc="C2ACE02A" w:tentative="1">
      <w:start w:val="1"/>
      <w:numFmt w:val="bullet"/>
      <w:lvlText w:val="–"/>
      <w:lvlJc w:val="left"/>
      <w:pPr>
        <w:tabs>
          <w:tab w:val="num" w:pos="4320"/>
        </w:tabs>
        <w:ind w:left="4320" w:hanging="360"/>
      </w:pPr>
      <w:rPr>
        <w:rFonts w:ascii="Times New Roman" w:hAnsi="Times New Roman" w:hint="default"/>
      </w:rPr>
    </w:lvl>
    <w:lvl w:ilvl="6" w:tplc="62B89AB8" w:tentative="1">
      <w:start w:val="1"/>
      <w:numFmt w:val="bullet"/>
      <w:lvlText w:val="–"/>
      <w:lvlJc w:val="left"/>
      <w:pPr>
        <w:tabs>
          <w:tab w:val="num" w:pos="5040"/>
        </w:tabs>
        <w:ind w:left="5040" w:hanging="360"/>
      </w:pPr>
      <w:rPr>
        <w:rFonts w:ascii="Times New Roman" w:hAnsi="Times New Roman" w:hint="default"/>
      </w:rPr>
    </w:lvl>
    <w:lvl w:ilvl="7" w:tplc="34005456" w:tentative="1">
      <w:start w:val="1"/>
      <w:numFmt w:val="bullet"/>
      <w:lvlText w:val="–"/>
      <w:lvlJc w:val="left"/>
      <w:pPr>
        <w:tabs>
          <w:tab w:val="num" w:pos="5760"/>
        </w:tabs>
        <w:ind w:left="5760" w:hanging="360"/>
      </w:pPr>
      <w:rPr>
        <w:rFonts w:ascii="Times New Roman" w:hAnsi="Times New Roman" w:hint="default"/>
      </w:rPr>
    </w:lvl>
    <w:lvl w:ilvl="8" w:tplc="BA8620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43440E"/>
    <w:multiLevelType w:val="hybridMultilevel"/>
    <w:tmpl w:val="305C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771554"/>
    <w:multiLevelType w:val="hybridMultilevel"/>
    <w:tmpl w:val="D230F486"/>
    <w:lvl w:ilvl="0" w:tplc="81C28EE0">
      <w:start w:val="1"/>
      <w:numFmt w:val="bullet"/>
      <w:lvlText w:val="●"/>
      <w:lvlJc w:val="left"/>
      <w:pPr>
        <w:tabs>
          <w:tab w:val="num" w:pos="720"/>
        </w:tabs>
        <w:ind w:left="720" w:hanging="360"/>
      </w:pPr>
      <w:rPr>
        <w:rFonts w:ascii="Arial" w:hAnsi="Arial" w:hint="default"/>
      </w:rPr>
    </w:lvl>
    <w:lvl w:ilvl="1" w:tplc="CE2E6C86" w:tentative="1">
      <w:start w:val="1"/>
      <w:numFmt w:val="bullet"/>
      <w:lvlText w:val="●"/>
      <w:lvlJc w:val="left"/>
      <w:pPr>
        <w:tabs>
          <w:tab w:val="num" w:pos="1440"/>
        </w:tabs>
        <w:ind w:left="1440" w:hanging="360"/>
      </w:pPr>
      <w:rPr>
        <w:rFonts w:ascii="Arial" w:hAnsi="Arial" w:hint="default"/>
      </w:rPr>
    </w:lvl>
    <w:lvl w:ilvl="2" w:tplc="C00AE41E" w:tentative="1">
      <w:start w:val="1"/>
      <w:numFmt w:val="bullet"/>
      <w:lvlText w:val="●"/>
      <w:lvlJc w:val="left"/>
      <w:pPr>
        <w:tabs>
          <w:tab w:val="num" w:pos="2160"/>
        </w:tabs>
        <w:ind w:left="2160" w:hanging="360"/>
      </w:pPr>
      <w:rPr>
        <w:rFonts w:ascii="Arial" w:hAnsi="Arial" w:hint="default"/>
      </w:rPr>
    </w:lvl>
    <w:lvl w:ilvl="3" w:tplc="E3E8BC90" w:tentative="1">
      <w:start w:val="1"/>
      <w:numFmt w:val="bullet"/>
      <w:lvlText w:val="●"/>
      <w:lvlJc w:val="left"/>
      <w:pPr>
        <w:tabs>
          <w:tab w:val="num" w:pos="2880"/>
        </w:tabs>
        <w:ind w:left="2880" w:hanging="360"/>
      </w:pPr>
      <w:rPr>
        <w:rFonts w:ascii="Arial" w:hAnsi="Arial" w:hint="default"/>
      </w:rPr>
    </w:lvl>
    <w:lvl w:ilvl="4" w:tplc="58D40F36" w:tentative="1">
      <w:start w:val="1"/>
      <w:numFmt w:val="bullet"/>
      <w:lvlText w:val="●"/>
      <w:lvlJc w:val="left"/>
      <w:pPr>
        <w:tabs>
          <w:tab w:val="num" w:pos="3600"/>
        </w:tabs>
        <w:ind w:left="3600" w:hanging="360"/>
      </w:pPr>
      <w:rPr>
        <w:rFonts w:ascii="Arial" w:hAnsi="Arial" w:hint="default"/>
      </w:rPr>
    </w:lvl>
    <w:lvl w:ilvl="5" w:tplc="D752EB74" w:tentative="1">
      <w:start w:val="1"/>
      <w:numFmt w:val="bullet"/>
      <w:lvlText w:val="●"/>
      <w:lvlJc w:val="left"/>
      <w:pPr>
        <w:tabs>
          <w:tab w:val="num" w:pos="4320"/>
        </w:tabs>
        <w:ind w:left="4320" w:hanging="360"/>
      </w:pPr>
      <w:rPr>
        <w:rFonts w:ascii="Arial" w:hAnsi="Arial" w:hint="default"/>
      </w:rPr>
    </w:lvl>
    <w:lvl w:ilvl="6" w:tplc="56D6A282" w:tentative="1">
      <w:start w:val="1"/>
      <w:numFmt w:val="bullet"/>
      <w:lvlText w:val="●"/>
      <w:lvlJc w:val="left"/>
      <w:pPr>
        <w:tabs>
          <w:tab w:val="num" w:pos="5040"/>
        </w:tabs>
        <w:ind w:left="5040" w:hanging="360"/>
      </w:pPr>
      <w:rPr>
        <w:rFonts w:ascii="Arial" w:hAnsi="Arial" w:hint="default"/>
      </w:rPr>
    </w:lvl>
    <w:lvl w:ilvl="7" w:tplc="E6948256" w:tentative="1">
      <w:start w:val="1"/>
      <w:numFmt w:val="bullet"/>
      <w:lvlText w:val="●"/>
      <w:lvlJc w:val="left"/>
      <w:pPr>
        <w:tabs>
          <w:tab w:val="num" w:pos="5760"/>
        </w:tabs>
        <w:ind w:left="5760" w:hanging="360"/>
      </w:pPr>
      <w:rPr>
        <w:rFonts w:ascii="Arial" w:hAnsi="Arial" w:hint="default"/>
      </w:rPr>
    </w:lvl>
    <w:lvl w:ilvl="8" w:tplc="BBE0FB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6D2FD7"/>
    <w:multiLevelType w:val="hybridMultilevel"/>
    <w:tmpl w:val="F636403E"/>
    <w:lvl w:ilvl="0" w:tplc="046E47E2">
      <w:start w:val="1"/>
      <w:numFmt w:val="bullet"/>
      <w:lvlText w:val="●"/>
      <w:lvlJc w:val="left"/>
      <w:pPr>
        <w:tabs>
          <w:tab w:val="num" w:pos="720"/>
        </w:tabs>
        <w:ind w:left="720" w:hanging="360"/>
      </w:pPr>
      <w:rPr>
        <w:rFonts w:ascii="Arial" w:hAnsi="Arial" w:hint="default"/>
      </w:rPr>
    </w:lvl>
    <w:lvl w:ilvl="1" w:tplc="1408F716">
      <w:numFmt w:val="bullet"/>
      <w:lvlText w:val="–"/>
      <w:lvlJc w:val="left"/>
      <w:pPr>
        <w:tabs>
          <w:tab w:val="num" w:pos="1440"/>
        </w:tabs>
        <w:ind w:left="1440" w:hanging="360"/>
      </w:pPr>
      <w:rPr>
        <w:rFonts w:ascii="Times New Roman" w:hAnsi="Times New Roman" w:hint="default"/>
      </w:rPr>
    </w:lvl>
    <w:lvl w:ilvl="2" w:tplc="A51CB05E" w:tentative="1">
      <w:start w:val="1"/>
      <w:numFmt w:val="bullet"/>
      <w:lvlText w:val="●"/>
      <w:lvlJc w:val="left"/>
      <w:pPr>
        <w:tabs>
          <w:tab w:val="num" w:pos="2160"/>
        </w:tabs>
        <w:ind w:left="2160" w:hanging="360"/>
      </w:pPr>
      <w:rPr>
        <w:rFonts w:ascii="Arial" w:hAnsi="Arial" w:hint="default"/>
      </w:rPr>
    </w:lvl>
    <w:lvl w:ilvl="3" w:tplc="92B474BC" w:tentative="1">
      <w:start w:val="1"/>
      <w:numFmt w:val="bullet"/>
      <w:lvlText w:val="●"/>
      <w:lvlJc w:val="left"/>
      <w:pPr>
        <w:tabs>
          <w:tab w:val="num" w:pos="2880"/>
        </w:tabs>
        <w:ind w:left="2880" w:hanging="360"/>
      </w:pPr>
      <w:rPr>
        <w:rFonts w:ascii="Arial" w:hAnsi="Arial" w:hint="default"/>
      </w:rPr>
    </w:lvl>
    <w:lvl w:ilvl="4" w:tplc="AFE676E0" w:tentative="1">
      <w:start w:val="1"/>
      <w:numFmt w:val="bullet"/>
      <w:lvlText w:val="●"/>
      <w:lvlJc w:val="left"/>
      <w:pPr>
        <w:tabs>
          <w:tab w:val="num" w:pos="3600"/>
        </w:tabs>
        <w:ind w:left="3600" w:hanging="360"/>
      </w:pPr>
      <w:rPr>
        <w:rFonts w:ascii="Arial" w:hAnsi="Arial" w:hint="default"/>
      </w:rPr>
    </w:lvl>
    <w:lvl w:ilvl="5" w:tplc="E1623136" w:tentative="1">
      <w:start w:val="1"/>
      <w:numFmt w:val="bullet"/>
      <w:lvlText w:val="●"/>
      <w:lvlJc w:val="left"/>
      <w:pPr>
        <w:tabs>
          <w:tab w:val="num" w:pos="4320"/>
        </w:tabs>
        <w:ind w:left="4320" w:hanging="360"/>
      </w:pPr>
      <w:rPr>
        <w:rFonts w:ascii="Arial" w:hAnsi="Arial" w:hint="default"/>
      </w:rPr>
    </w:lvl>
    <w:lvl w:ilvl="6" w:tplc="6F1A9B5E" w:tentative="1">
      <w:start w:val="1"/>
      <w:numFmt w:val="bullet"/>
      <w:lvlText w:val="●"/>
      <w:lvlJc w:val="left"/>
      <w:pPr>
        <w:tabs>
          <w:tab w:val="num" w:pos="5040"/>
        </w:tabs>
        <w:ind w:left="5040" w:hanging="360"/>
      </w:pPr>
      <w:rPr>
        <w:rFonts w:ascii="Arial" w:hAnsi="Arial" w:hint="default"/>
      </w:rPr>
    </w:lvl>
    <w:lvl w:ilvl="7" w:tplc="050E25C2" w:tentative="1">
      <w:start w:val="1"/>
      <w:numFmt w:val="bullet"/>
      <w:lvlText w:val="●"/>
      <w:lvlJc w:val="left"/>
      <w:pPr>
        <w:tabs>
          <w:tab w:val="num" w:pos="5760"/>
        </w:tabs>
        <w:ind w:left="5760" w:hanging="360"/>
      </w:pPr>
      <w:rPr>
        <w:rFonts w:ascii="Arial" w:hAnsi="Arial" w:hint="default"/>
      </w:rPr>
    </w:lvl>
    <w:lvl w:ilvl="8" w:tplc="D31EAA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BC7AD8"/>
    <w:multiLevelType w:val="hybridMultilevel"/>
    <w:tmpl w:val="FD6CC7F4"/>
    <w:lvl w:ilvl="0" w:tplc="8B34E49C">
      <w:start w:val="1"/>
      <w:numFmt w:val="bullet"/>
      <w:lvlText w:val="●"/>
      <w:lvlJc w:val="left"/>
      <w:pPr>
        <w:tabs>
          <w:tab w:val="num" w:pos="720"/>
        </w:tabs>
        <w:ind w:left="720" w:hanging="360"/>
      </w:pPr>
      <w:rPr>
        <w:rFonts w:ascii="Arial" w:hAnsi="Arial" w:hint="default"/>
      </w:rPr>
    </w:lvl>
    <w:lvl w:ilvl="1" w:tplc="F4DE94B4">
      <w:numFmt w:val="bullet"/>
      <w:lvlText w:val="–"/>
      <w:lvlJc w:val="left"/>
      <w:pPr>
        <w:tabs>
          <w:tab w:val="num" w:pos="1440"/>
        </w:tabs>
        <w:ind w:left="1440" w:hanging="360"/>
      </w:pPr>
      <w:rPr>
        <w:rFonts w:ascii="Times New Roman" w:hAnsi="Times New Roman" w:hint="default"/>
      </w:rPr>
    </w:lvl>
    <w:lvl w:ilvl="2" w:tplc="67D4996C" w:tentative="1">
      <w:start w:val="1"/>
      <w:numFmt w:val="bullet"/>
      <w:lvlText w:val="●"/>
      <w:lvlJc w:val="left"/>
      <w:pPr>
        <w:tabs>
          <w:tab w:val="num" w:pos="2160"/>
        </w:tabs>
        <w:ind w:left="2160" w:hanging="360"/>
      </w:pPr>
      <w:rPr>
        <w:rFonts w:ascii="Arial" w:hAnsi="Arial" w:hint="default"/>
      </w:rPr>
    </w:lvl>
    <w:lvl w:ilvl="3" w:tplc="40567080" w:tentative="1">
      <w:start w:val="1"/>
      <w:numFmt w:val="bullet"/>
      <w:lvlText w:val="●"/>
      <w:lvlJc w:val="left"/>
      <w:pPr>
        <w:tabs>
          <w:tab w:val="num" w:pos="2880"/>
        </w:tabs>
        <w:ind w:left="2880" w:hanging="360"/>
      </w:pPr>
      <w:rPr>
        <w:rFonts w:ascii="Arial" w:hAnsi="Arial" w:hint="default"/>
      </w:rPr>
    </w:lvl>
    <w:lvl w:ilvl="4" w:tplc="6EA674E4" w:tentative="1">
      <w:start w:val="1"/>
      <w:numFmt w:val="bullet"/>
      <w:lvlText w:val="●"/>
      <w:lvlJc w:val="left"/>
      <w:pPr>
        <w:tabs>
          <w:tab w:val="num" w:pos="3600"/>
        </w:tabs>
        <w:ind w:left="3600" w:hanging="360"/>
      </w:pPr>
      <w:rPr>
        <w:rFonts w:ascii="Arial" w:hAnsi="Arial" w:hint="default"/>
      </w:rPr>
    </w:lvl>
    <w:lvl w:ilvl="5" w:tplc="E03E5192" w:tentative="1">
      <w:start w:val="1"/>
      <w:numFmt w:val="bullet"/>
      <w:lvlText w:val="●"/>
      <w:lvlJc w:val="left"/>
      <w:pPr>
        <w:tabs>
          <w:tab w:val="num" w:pos="4320"/>
        </w:tabs>
        <w:ind w:left="4320" w:hanging="360"/>
      </w:pPr>
      <w:rPr>
        <w:rFonts w:ascii="Arial" w:hAnsi="Arial" w:hint="default"/>
      </w:rPr>
    </w:lvl>
    <w:lvl w:ilvl="6" w:tplc="DB8044D6" w:tentative="1">
      <w:start w:val="1"/>
      <w:numFmt w:val="bullet"/>
      <w:lvlText w:val="●"/>
      <w:lvlJc w:val="left"/>
      <w:pPr>
        <w:tabs>
          <w:tab w:val="num" w:pos="5040"/>
        </w:tabs>
        <w:ind w:left="5040" w:hanging="360"/>
      </w:pPr>
      <w:rPr>
        <w:rFonts w:ascii="Arial" w:hAnsi="Arial" w:hint="default"/>
      </w:rPr>
    </w:lvl>
    <w:lvl w:ilvl="7" w:tplc="31FC1CA8" w:tentative="1">
      <w:start w:val="1"/>
      <w:numFmt w:val="bullet"/>
      <w:lvlText w:val="●"/>
      <w:lvlJc w:val="left"/>
      <w:pPr>
        <w:tabs>
          <w:tab w:val="num" w:pos="5760"/>
        </w:tabs>
        <w:ind w:left="5760" w:hanging="360"/>
      </w:pPr>
      <w:rPr>
        <w:rFonts w:ascii="Arial" w:hAnsi="Arial" w:hint="default"/>
      </w:rPr>
    </w:lvl>
    <w:lvl w:ilvl="8" w:tplc="DE2E32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DD4D0B"/>
    <w:multiLevelType w:val="hybridMultilevel"/>
    <w:tmpl w:val="DCA89FC8"/>
    <w:lvl w:ilvl="0" w:tplc="44667A7A">
      <w:start w:val="1"/>
      <w:numFmt w:val="bullet"/>
      <w:lvlText w:val="●"/>
      <w:lvlJc w:val="left"/>
      <w:pPr>
        <w:tabs>
          <w:tab w:val="num" w:pos="720"/>
        </w:tabs>
        <w:ind w:left="720" w:hanging="360"/>
      </w:pPr>
      <w:rPr>
        <w:rFonts w:ascii="Arial" w:hAnsi="Arial" w:hint="default"/>
      </w:rPr>
    </w:lvl>
    <w:lvl w:ilvl="1" w:tplc="17C41854" w:tentative="1">
      <w:start w:val="1"/>
      <w:numFmt w:val="bullet"/>
      <w:lvlText w:val="●"/>
      <w:lvlJc w:val="left"/>
      <w:pPr>
        <w:tabs>
          <w:tab w:val="num" w:pos="1440"/>
        </w:tabs>
        <w:ind w:left="1440" w:hanging="360"/>
      </w:pPr>
      <w:rPr>
        <w:rFonts w:ascii="Arial" w:hAnsi="Arial" w:hint="default"/>
      </w:rPr>
    </w:lvl>
    <w:lvl w:ilvl="2" w:tplc="91E8ED90" w:tentative="1">
      <w:start w:val="1"/>
      <w:numFmt w:val="bullet"/>
      <w:lvlText w:val="●"/>
      <w:lvlJc w:val="left"/>
      <w:pPr>
        <w:tabs>
          <w:tab w:val="num" w:pos="2160"/>
        </w:tabs>
        <w:ind w:left="2160" w:hanging="360"/>
      </w:pPr>
      <w:rPr>
        <w:rFonts w:ascii="Arial" w:hAnsi="Arial" w:hint="default"/>
      </w:rPr>
    </w:lvl>
    <w:lvl w:ilvl="3" w:tplc="39085364" w:tentative="1">
      <w:start w:val="1"/>
      <w:numFmt w:val="bullet"/>
      <w:lvlText w:val="●"/>
      <w:lvlJc w:val="left"/>
      <w:pPr>
        <w:tabs>
          <w:tab w:val="num" w:pos="2880"/>
        </w:tabs>
        <w:ind w:left="2880" w:hanging="360"/>
      </w:pPr>
      <w:rPr>
        <w:rFonts w:ascii="Arial" w:hAnsi="Arial" w:hint="default"/>
      </w:rPr>
    </w:lvl>
    <w:lvl w:ilvl="4" w:tplc="A4921A1C" w:tentative="1">
      <w:start w:val="1"/>
      <w:numFmt w:val="bullet"/>
      <w:lvlText w:val="●"/>
      <w:lvlJc w:val="left"/>
      <w:pPr>
        <w:tabs>
          <w:tab w:val="num" w:pos="3600"/>
        </w:tabs>
        <w:ind w:left="3600" w:hanging="360"/>
      </w:pPr>
      <w:rPr>
        <w:rFonts w:ascii="Arial" w:hAnsi="Arial" w:hint="default"/>
      </w:rPr>
    </w:lvl>
    <w:lvl w:ilvl="5" w:tplc="F68AD704" w:tentative="1">
      <w:start w:val="1"/>
      <w:numFmt w:val="bullet"/>
      <w:lvlText w:val="●"/>
      <w:lvlJc w:val="left"/>
      <w:pPr>
        <w:tabs>
          <w:tab w:val="num" w:pos="4320"/>
        </w:tabs>
        <w:ind w:left="4320" w:hanging="360"/>
      </w:pPr>
      <w:rPr>
        <w:rFonts w:ascii="Arial" w:hAnsi="Arial" w:hint="default"/>
      </w:rPr>
    </w:lvl>
    <w:lvl w:ilvl="6" w:tplc="49AC9DDC" w:tentative="1">
      <w:start w:val="1"/>
      <w:numFmt w:val="bullet"/>
      <w:lvlText w:val="●"/>
      <w:lvlJc w:val="left"/>
      <w:pPr>
        <w:tabs>
          <w:tab w:val="num" w:pos="5040"/>
        </w:tabs>
        <w:ind w:left="5040" w:hanging="360"/>
      </w:pPr>
      <w:rPr>
        <w:rFonts w:ascii="Arial" w:hAnsi="Arial" w:hint="default"/>
      </w:rPr>
    </w:lvl>
    <w:lvl w:ilvl="7" w:tplc="95B24570" w:tentative="1">
      <w:start w:val="1"/>
      <w:numFmt w:val="bullet"/>
      <w:lvlText w:val="●"/>
      <w:lvlJc w:val="left"/>
      <w:pPr>
        <w:tabs>
          <w:tab w:val="num" w:pos="5760"/>
        </w:tabs>
        <w:ind w:left="5760" w:hanging="360"/>
      </w:pPr>
      <w:rPr>
        <w:rFonts w:ascii="Arial" w:hAnsi="Arial" w:hint="default"/>
      </w:rPr>
    </w:lvl>
    <w:lvl w:ilvl="8" w:tplc="54C6A6CE" w:tentative="1">
      <w:start w:val="1"/>
      <w:numFmt w:val="bullet"/>
      <w:lvlText w:val="●"/>
      <w:lvlJc w:val="left"/>
      <w:pPr>
        <w:tabs>
          <w:tab w:val="num" w:pos="6480"/>
        </w:tabs>
        <w:ind w:left="6480" w:hanging="360"/>
      </w:pPr>
      <w:rPr>
        <w:rFonts w:ascii="Arial" w:hAnsi="Arial" w:hint="default"/>
      </w:rPr>
    </w:lvl>
  </w:abstractNum>
  <w:num w:numId="1" w16cid:durableId="544753151">
    <w:abstractNumId w:val="4"/>
  </w:num>
  <w:num w:numId="2" w16cid:durableId="482696425">
    <w:abstractNumId w:val="2"/>
  </w:num>
  <w:num w:numId="3" w16cid:durableId="798838098">
    <w:abstractNumId w:val="11"/>
  </w:num>
  <w:num w:numId="4" w16cid:durableId="1285230963">
    <w:abstractNumId w:val="10"/>
  </w:num>
  <w:num w:numId="5" w16cid:durableId="1185362203">
    <w:abstractNumId w:val="5"/>
  </w:num>
  <w:num w:numId="6" w16cid:durableId="1189488112">
    <w:abstractNumId w:val="6"/>
  </w:num>
  <w:num w:numId="7" w16cid:durableId="1347440508">
    <w:abstractNumId w:val="0"/>
  </w:num>
  <w:num w:numId="8" w16cid:durableId="1288396481">
    <w:abstractNumId w:val="12"/>
  </w:num>
  <w:num w:numId="9" w16cid:durableId="808936802">
    <w:abstractNumId w:val="15"/>
  </w:num>
  <w:num w:numId="10" w16cid:durableId="952438889">
    <w:abstractNumId w:val="3"/>
  </w:num>
  <w:num w:numId="11" w16cid:durableId="1510175265">
    <w:abstractNumId w:val="9"/>
  </w:num>
  <w:num w:numId="12" w16cid:durableId="1123114216">
    <w:abstractNumId w:val="14"/>
  </w:num>
  <w:num w:numId="13" w16cid:durableId="1967856466">
    <w:abstractNumId w:val="7"/>
  </w:num>
  <w:num w:numId="14" w16cid:durableId="1736932489">
    <w:abstractNumId w:val="13"/>
  </w:num>
  <w:num w:numId="15" w16cid:durableId="905720233">
    <w:abstractNumId w:val="8"/>
  </w:num>
  <w:num w:numId="16" w16cid:durableId="47985708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686"/>
    <w:rsid w:val="000028CB"/>
    <w:rsid w:val="00003709"/>
    <w:rsid w:val="00007928"/>
    <w:rsid w:val="000117AD"/>
    <w:rsid w:val="00013AA4"/>
    <w:rsid w:val="0001527B"/>
    <w:rsid w:val="000218D4"/>
    <w:rsid w:val="00021CD2"/>
    <w:rsid w:val="00023D9F"/>
    <w:rsid w:val="00024F82"/>
    <w:rsid w:val="00025B52"/>
    <w:rsid w:val="00036CBC"/>
    <w:rsid w:val="00037F08"/>
    <w:rsid w:val="0004029A"/>
    <w:rsid w:val="0004219B"/>
    <w:rsid w:val="00044F54"/>
    <w:rsid w:val="000474E3"/>
    <w:rsid w:val="00047F3E"/>
    <w:rsid w:val="00053B06"/>
    <w:rsid w:val="00057347"/>
    <w:rsid w:val="0006034E"/>
    <w:rsid w:val="00061078"/>
    <w:rsid w:val="00062011"/>
    <w:rsid w:val="00062748"/>
    <w:rsid w:val="00063783"/>
    <w:rsid w:val="00063A18"/>
    <w:rsid w:val="00064D08"/>
    <w:rsid w:val="00064D69"/>
    <w:rsid w:val="0006565D"/>
    <w:rsid w:val="00067B9A"/>
    <w:rsid w:val="00067E4F"/>
    <w:rsid w:val="00070387"/>
    <w:rsid w:val="00071ABE"/>
    <w:rsid w:val="00071FD2"/>
    <w:rsid w:val="000721F6"/>
    <w:rsid w:val="00073765"/>
    <w:rsid w:val="000767CC"/>
    <w:rsid w:val="000812AC"/>
    <w:rsid w:val="000815C9"/>
    <w:rsid w:val="00082EA1"/>
    <w:rsid w:val="000843A7"/>
    <w:rsid w:val="00087DE2"/>
    <w:rsid w:val="00090435"/>
    <w:rsid w:val="00092206"/>
    <w:rsid w:val="000929A6"/>
    <w:rsid w:val="0009308E"/>
    <w:rsid w:val="00095FA1"/>
    <w:rsid w:val="00096262"/>
    <w:rsid w:val="00097343"/>
    <w:rsid w:val="00097D22"/>
    <w:rsid w:val="000A108D"/>
    <w:rsid w:val="000A38F8"/>
    <w:rsid w:val="000A43CE"/>
    <w:rsid w:val="000A7342"/>
    <w:rsid w:val="000B1DA4"/>
    <w:rsid w:val="000B5015"/>
    <w:rsid w:val="000B566D"/>
    <w:rsid w:val="000B6778"/>
    <w:rsid w:val="000B788F"/>
    <w:rsid w:val="000B7C66"/>
    <w:rsid w:val="000C4DBE"/>
    <w:rsid w:val="000C4F08"/>
    <w:rsid w:val="000C529E"/>
    <w:rsid w:val="000C6761"/>
    <w:rsid w:val="000C6C68"/>
    <w:rsid w:val="000D04BC"/>
    <w:rsid w:val="000D4781"/>
    <w:rsid w:val="000D4E36"/>
    <w:rsid w:val="000D6875"/>
    <w:rsid w:val="000E0B83"/>
    <w:rsid w:val="000E26C0"/>
    <w:rsid w:val="000E4A6E"/>
    <w:rsid w:val="000E51E0"/>
    <w:rsid w:val="000E62FE"/>
    <w:rsid w:val="000E6D37"/>
    <w:rsid w:val="00103B81"/>
    <w:rsid w:val="00105B8A"/>
    <w:rsid w:val="00106654"/>
    <w:rsid w:val="00107D70"/>
    <w:rsid w:val="001106F5"/>
    <w:rsid w:val="00111BB6"/>
    <w:rsid w:val="0011275C"/>
    <w:rsid w:val="00112E83"/>
    <w:rsid w:val="00114F3A"/>
    <w:rsid w:val="001161E4"/>
    <w:rsid w:val="00117B8F"/>
    <w:rsid w:val="0012356C"/>
    <w:rsid w:val="00125A26"/>
    <w:rsid w:val="00127EE8"/>
    <w:rsid w:val="00130BA5"/>
    <w:rsid w:val="00131FC1"/>
    <w:rsid w:val="0013229E"/>
    <w:rsid w:val="0013786E"/>
    <w:rsid w:val="0014130C"/>
    <w:rsid w:val="00141A61"/>
    <w:rsid w:val="00141EF4"/>
    <w:rsid w:val="00144C57"/>
    <w:rsid w:val="001472A8"/>
    <w:rsid w:val="0014759F"/>
    <w:rsid w:val="00147B80"/>
    <w:rsid w:val="00150A12"/>
    <w:rsid w:val="00151635"/>
    <w:rsid w:val="0015376F"/>
    <w:rsid w:val="00153EB8"/>
    <w:rsid w:val="00154665"/>
    <w:rsid w:val="00155867"/>
    <w:rsid w:val="00157FDB"/>
    <w:rsid w:val="00160CBC"/>
    <w:rsid w:val="00161474"/>
    <w:rsid w:val="001614E0"/>
    <w:rsid w:val="00164220"/>
    <w:rsid w:val="00166414"/>
    <w:rsid w:val="001674B8"/>
    <w:rsid w:val="00167C47"/>
    <w:rsid w:val="00171BD8"/>
    <w:rsid w:val="0017653E"/>
    <w:rsid w:val="00180938"/>
    <w:rsid w:val="00182B01"/>
    <w:rsid w:val="00182EA7"/>
    <w:rsid w:val="001840D2"/>
    <w:rsid w:val="001850DA"/>
    <w:rsid w:val="0018546D"/>
    <w:rsid w:val="00185BC7"/>
    <w:rsid w:val="00187380"/>
    <w:rsid w:val="00191EE4"/>
    <w:rsid w:val="0019452D"/>
    <w:rsid w:val="001957E2"/>
    <w:rsid w:val="001966D7"/>
    <w:rsid w:val="001973A5"/>
    <w:rsid w:val="001A1E17"/>
    <w:rsid w:val="001A1ED7"/>
    <w:rsid w:val="001A327D"/>
    <w:rsid w:val="001A42B6"/>
    <w:rsid w:val="001A51A0"/>
    <w:rsid w:val="001A6BB2"/>
    <w:rsid w:val="001A725D"/>
    <w:rsid w:val="001A77B0"/>
    <w:rsid w:val="001B0CB7"/>
    <w:rsid w:val="001B1B58"/>
    <w:rsid w:val="001B535D"/>
    <w:rsid w:val="001C1DA2"/>
    <w:rsid w:val="001C4311"/>
    <w:rsid w:val="001C4D2E"/>
    <w:rsid w:val="001C7C74"/>
    <w:rsid w:val="001C7E35"/>
    <w:rsid w:val="001D005B"/>
    <w:rsid w:val="001D0D93"/>
    <w:rsid w:val="001D10F8"/>
    <w:rsid w:val="001D2C43"/>
    <w:rsid w:val="001D3ADD"/>
    <w:rsid w:val="001D3F55"/>
    <w:rsid w:val="001D6A6C"/>
    <w:rsid w:val="001D7A52"/>
    <w:rsid w:val="001E2B75"/>
    <w:rsid w:val="001E3C06"/>
    <w:rsid w:val="001E6B19"/>
    <w:rsid w:val="001E7979"/>
    <w:rsid w:val="001F0037"/>
    <w:rsid w:val="001F0BE9"/>
    <w:rsid w:val="001F2D6E"/>
    <w:rsid w:val="001F3100"/>
    <w:rsid w:val="001F5112"/>
    <w:rsid w:val="001F5161"/>
    <w:rsid w:val="00200001"/>
    <w:rsid w:val="00202D79"/>
    <w:rsid w:val="002047E8"/>
    <w:rsid w:val="00205646"/>
    <w:rsid w:val="00205D2F"/>
    <w:rsid w:val="0020669F"/>
    <w:rsid w:val="002157AA"/>
    <w:rsid w:val="00215E8F"/>
    <w:rsid w:val="002170B7"/>
    <w:rsid w:val="002179C6"/>
    <w:rsid w:val="00221A93"/>
    <w:rsid w:val="00223F6C"/>
    <w:rsid w:val="00226E2F"/>
    <w:rsid w:val="00230A61"/>
    <w:rsid w:val="002322BB"/>
    <w:rsid w:val="00232726"/>
    <w:rsid w:val="00235385"/>
    <w:rsid w:val="0023679E"/>
    <w:rsid w:val="00241100"/>
    <w:rsid w:val="002434A1"/>
    <w:rsid w:val="00246DEA"/>
    <w:rsid w:val="00250037"/>
    <w:rsid w:val="00251254"/>
    <w:rsid w:val="00253901"/>
    <w:rsid w:val="00254252"/>
    <w:rsid w:val="002548D1"/>
    <w:rsid w:val="00254D1E"/>
    <w:rsid w:val="002551EA"/>
    <w:rsid w:val="00255FCF"/>
    <w:rsid w:val="00256464"/>
    <w:rsid w:val="00256603"/>
    <w:rsid w:val="0027081D"/>
    <w:rsid w:val="0027283B"/>
    <w:rsid w:val="00277EFB"/>
    <w:rsid w:val="0028019B"/>
    <w:rsid w:val="00281062"/>
    <w:rsid w:val="00282E73"/>
    <w:rsid w:val="00283CAB"/>
    <w:rsid w:val="00283DA6"/>
    <w:rsid w:val="00284E8D"/>
    <w:rsid w:val="0028525A"/>
    <w:rsid w:val="0028742A"/>
    <w:rsid w:val="00291DE1"/>
    <w:rsid w:val="0029329D"/>
    <w:rsid w:val="00297278"/>
    <w:rsid w:val="002976A9"/>
    <w:rsid w:val="002A3DBB"/>
    <w:rsid w:val="002A3FEF"/>
    <w:rsid w:val="002A4CA2"/>
    <w:rsid w:val="002A67AF"/>
    <w:rsid w:val="002B2690"/>
    <w:rsid w:val="002B3591"/>
    <w:rsid w:val="002B54A6"/>
    <w:rsid w:val="002B6E0A"/>
    <w:rsid w:val="002B709C"/>
    <w:rsid w:val="002B71E9"/>
    <w:rsid w:val="002C3478"/>
    <w:rsid w:val="002C4F27"/>
    <w:rsid w:val="002C6371"/>
    <w:rsid w:val="002C7FDC"/>
    <w:rsid w:val="002D2843"/>
    <w:rsid w:val="002D6119"/>
    <w:rsid w:val="002E0D2A"/>
    <w:rsid w:val="002E3E6C"/>
    <w:rsid w:val="002F010D"/>
    <w:rsid w:val="002F0403"/>
    <w:rsid w:val="002F268A"/>
    <w:rsid w:val="002F3EE9"/>
    <w:rsid w:val="002F716B"/>
    <w:rsid w:val="002F7454"/>
    <w:rsid w:val="00303F2D"/>
    <w:rsid w:val="003046B9"/>
    <w:rsid w:val="00307F76"/>
    <w:rsid w:val="00310AF9"/>
    <w:rsid w:val="00314E7D"/>
    <w:rsid w:val="00315F81"/>
    <w:rsid w:val="00317862"/>
    <w:rsid w:val="00321FBB"/>
    <w:rsid w:val="00322B61"/>
    <w:rsid w:val="00323B86"/>
    <w:rsid w:val="003245AF"/>
    <w:rsid w:val="003246EC"/>
    <w:rsid w:val="00324D59"/>
    <w:rsid w:val="00330832"/>
    <w:rsid w:val="003313A3"/>
    <w:rsid w:val="003313EA"/>
    <w:rsid w:val="00333FAA"/>
    <w:rsid w:val="003355D7"/>
    <w:rsid w:val="00335F91"/>
    <w:rsid w:val="00336CAC"/>
    <w:rsid w:val="00340140"/>
    <w:rsid w:val="00344671"/>
    <w:rsid w:val="003501B6"/>
    <w:rsid w:val="003514CD"/>
    <w:rsid w:val="00351D49"/>
    <w:rsid w:val="00353A09"/>
    <w:rsid w:val="00353FFF"/>
    <w:rsid w:val="00356994"/>
    <w:rsid w:val="0036006B"/>
    <w:rsid w:val="0036201C"/>
    <w:rsid w:val="00365B0E"/>
    <w:rsid w:val="00366C13"/>
    <w:rsid w:val="00366C4A"/>
    <w:rsid w:val="00372CB0"/>
    <w:rsid w:val="00376768"/>
    <w:rsid w:val="00380F87"/>
    <w:rsid w:val="00380FCD"/>
    <w:rsid w:val="0038220B"/>
    <w:rsid w:val="003823B1"/>
    <w:rsid w:val="00385C3C"/>
    <w:rsid w:val="00390306"/>
    <w:rsid w:val="00390E51"/>
    <w:rsid w:val="0039281C"/>
    <w:rsid w:val="00394863"/>
    <w:rsid w:val="003A2973"/>
    <w:rsid w:val="003A4012"/>
    <w:rsid w:val="003B4479"/>
    <w:rsid w:val="003B5E4A"/>
    <w:rsid w:val="003B6B37"/>
    <w:rsid w:val="003B6D4C"/>
    <w:rsid w:val="003C1767"/>
    <w:rsid w:val="003C270D"/>
    <w:rsid w:val="003C39EB"/>
    <w:rsid w:val="003C3C2A"/>
    <w:rsid w:val="003C43D9"/>
    <w:rsid w:val="003C5F43"/>
    <w:rsid w:val="003D556F"/>
    <w:rsid w:val="003D680F"/>
    <w:rsid w:val="003D6DAF"/>
    <w:rsid w:val="003E32E8"/>
    <w:rsid w:val="003E4860"/>
    <w:rsid w:val="003E63CF"/>
    <w:rsid w:val="003F200F"/>
    <w:rsid w:val="003F3AFD"/>
    <w:rsid w:val="003F478C"/>
    <w:rsid w:val="003F7CBD"/>
    <w:rsid w:val="0040041D"/>
    <w:rsid w:val="0040087F"/>
    <w:rsid w:val="00403178"/>
    <w:rsid w:val="00405FBC"/>
    <w:rsid w:val="00406084"/>
    <w:rsid w:val="00406384"/>
    <w:rsid w:val="004076C8"/>
    <w:rsid w:val="00407A98"/>
    <w:rsid w:val="00410917"/>
    <w:rsid w:val="0041104C"/>
    <w:rsid w:val="0041222E"/>
    <w:rsid w:val="0041426C"/>
    <w:rsid w:val="00420183"/>
    <w:rsid w:val="004207E3"/>
    <w:rsid w:val="004212E2"/>
    <w:rsid w:val="00421A4C"/>
    <w:rsid w:val="00422F59"/>
    <w:rsid w:val="004238C2"/>
    <w:rsid w:val="00423FCF"/>
    <w:rsid w:val="00424E06"/>
    <w:rsid w:val="00425D9A"/>
    <w:rsid w:val="00426854"/>
    <w:rsid w:val="00427B7E"/>
    <w:rsid w:val="00435B5D"/>
    <w:rsid w:val="00435CB2"/>
    <w:rsid w:val="004363F7"/>
    <w:rsid w:val="00436E8C"/>
    <w:rsid w:val="0044525C"/>
    <w:rsid w:val="00447839"/>
    <w:rsid w:val="0045071F"/>
    <w:rsid w:val="00450CBE"/>
    <w:rsid w:val="00451276"/>
    <w:rsid w:val="00451DAB"/>
    <w:rsid w:val="0045243B"/>
    <w:rsid w:val="00452C16"/>
    <w:rsid w:val="004553F1"/>
    <w:rsid w:val="0045581A"/>
    <w:rsid w:val="00464E6B"/>
    <w:rsid w:val="0046541E"/>
    <w:rsid w:val="00466562"/>
    <w:rsid w:val="00466DAA"/>
    <w:rsid w:val="00471C1F"/>
    <w:rsid w:val="004735E2"/>
    <w:rsid w:val="00475064"/>
    <w:rsid w:val="004809FA"/>
    <w:rsid w:val="00486B97"/>
    <w:rsid w:val="00487E8C"/>
    <w:rsid w:val="00491177"/>
    <w:rsid w:val="00492C2B"/>
    <w:rsid w:val="0049363A"/>
    <w:rsid w:val="00496E3E"/>
    <w:rsid w:val="004A045C"/>
    <w:rsid w:val="004A1F1D"/>
    <w:rsid w:val="004A47F6"/>
    <w:rsid w:val="004A5443"/>
    <w:rsid w:val="004A591B"/>
    <w:rsid w:val="004B0C86"/>
    <w:rsid w:val="004B4794"/>
    <w:rsid w:val="004B510D"/>
    <w:rsid w:val="004C1065"/>
    <w:rsid w:val="004C1AC1"/>
    <w:rsid w:val="004C2D09"/>
    <w:rsid w:val="004C4A75"/>
    <w:rsid w:val="004C6B3B"/>
    <w:rsid w:val="004D2DA0"/>
    <w:rsid w:val="004D3238"/>
    <w:rsid w:val="004D5233"/>
    <w:rsid w:val="004D585D"/>
    <w:rsid w:val="004D5F93"/>
    <w:rsid w:val="004D72DE"/>
    <w:rsid w:val="004E0232"/>
    <w:rsid w:val="004E034C"/>
    <w:rsid w:val="004E14A4"/>
    <w:rsid w:val="004E4214"/>
    <w:rsid w:val="004E58BC"/>
    <w:rsid w:val="004E705A"/>
    <w:rsid w:val="004F0531"/>
    <w:rsid w:val="004F309F"/>
    <w:rsid w:val="004F4928"/>
    <w:rsid w:val="004F4F48"/>
    <w:rsid w:val="004F54BD"/>
    <w:rsid w:val="004F56C5"/>
    <w:rsid w:val="004F6DD6"/>
    <w:rsid w:val="004F6E5A"/>
    <w:rsid w:val="004F774D"/>
    <w:rsid w:val="00501965"/>
    <w:rsid w:val="00503730"/>
    <w:rsid w:val="005057CF"/>
    <w:rsid w:val="00506185"/>
    <w:rsid w:val="00510064"/>
    <w:rsid w:val="00513018"/>
    <w:rsid w:val="005234E3"/>
    <w:rsid w:val="0052494B"/>
    <w:rsid w:val="00525167"/>
    <w:rsid w:val="005276E6"/>
    <w:rsid w:val="00530E80"/>
    <w:rsid w:val="00535274"/>
    <w:rsid w:val="005354D0"/>
    <w:rsid w:val="00536DF5"/>
    <w:rsid w:val="00537008"/>
    <w:rsid w:val="0054172C"/>
    <w:rsid w:val="005433D1"/>
    <w:rsid w:val="0054590F"/>
    <w:rsid w:val="005459EC"/>
    <w:rsid w:val="00547EF7"/>
    <w:rsid w:val="005512CA"/>
    <w:rsid w:val="005520DB"/>
    <w:rsid w:val="00553889"/>
    <w:rsid w:val="00563EA4"/>
    <w:rsid w:val="0056561B"/>
    <w:rsid w:val="0057078C"/>
    <w:rsid w:val="005718B5"/>
    <w:rsid w:val="0057335E"/>
    <w:rsid w:val="005733C0"/>
    <w:rsid w:val="00573AD2"/>
    <w:rsid w:val="00573F4E"/>
    <w:rsid w:val="005752FE"/>
    <w:rsid w:val="00576B6B"/>
    <w:rsid w:val="00576DC0"/>
    <w:rsid w:val="00576DD4"/>
    <w:rsid w:val="00577648"/>
    <w:rsid w:val="005808FB"/>
    <w:rsid w:val="005811F8"/>
    <w:rsid w:val="00581EC2"/>
    <w:rsid w:val="00582605"/>
    <w:rsid w:val="00584E02"/>
    <w:rsid w:val="00590721"/>
    <w:rsid w:val="00591016"/>
    <w:rsid w:val="005941A3"/>
    <w:rsid w:val="0059494C"/>
    <w:rsid w:val="00595144"/>
    <w:rsid w:val="005951F3"/>
    <w:rsid w:val="005955A9"/>
    <w:rsid w:val="005977B2"/>
    <w:rsid w:val="005A5F38"/>
    <w:rsid w:val="005A6655"/>
    <w:rsid w:val="005A7308"/>
    <w:rsid w:val="005B3F67"/>
    <w:rsid w:val="005B464A"/>
    <w:rsid w:val="005B5BD3"/>
    <w:rsid w:val="005B7CC2"/>
    <w:rsid w:val="005C16AA"/>
    <w:rsid w:val="005C294D"/>
    <w:rsid w:val="005C4AE0"/>
    <w:rsid w:val="005C5B2B"/>
    <w:rsid w:val="005C5C7C"/>
    <w:rsid w:val="005C5F85"/>
    <w:rsid w:val="005D03DC"/>
    <w:rsid w:val="005D133C"/>
    <w:rsid w:val="005D3207"/>
    <w:rsid w:val="005D5265"/>
    <w:rsid w:val="005D548F"/>
    <w:rsid w:val="005D5C57"/>
    <w:rsid w:val="005D6A9E"/>
    <w:rsid w:val="005D6ED7"/>
    <w:rsid w:val="005D6EF5"/>
    <w:rsid w:val="005E1059"/>
    <w:rsid w:val="005E3A10"/>
    <w:rsid w:val="005E3E1F"/>
    <w:rsid w:val="005E42EF"/>
    <w:rsid w:val="005E7509"/>
    <w:rsid w:val="005F0AAC"/>
    <w:rsid w:val="005F0FA0"/>
    <w:rsid w:val="005F1CE8"/>
    <w:rsid w:val="005F29D9"/>
    <w:rsid w:val="00601D7F"/>
    <w:rsid w:val="00602FD8"/>
    <w:rsid w:val="00603136"/>
    <w:rsid w:val="00603A72"/>
    <w:rsid w:val="00605A4C"/>
    <w:rsid w:val="00607C4E"/>
    <w:rsid w:val="00610DED"/>
    <w:rsid w:val="006127DC"/>
    <w:rsid w:val="00615310"/>
    <w:rsid w:val="00615DBB"/>
    <w:rsid w:val="0061789A"/>
    <w:rsid w:val="00621EA6"/>
    <w:rsid w:val="00622A56"/>
    <w:rsid w:val="0062317E"/>
    <w:rsid w:val="00625471"/>
    <w:rsid w:val="00633773"/>
    <w:rsid w:val="006408A9"/>
    <w:rsid w:val="00641854"/>
    <w:rsid w:val="00641887"/>
    <w:rsid w:val="0064258C"/>
    <w:rsid w:val="00645B8B"/>
    <w:rsid w:val="00646573"/>
    <w:rsid w:val="006517D2"/>
    <w:rsid w:val="00654515"/>
    <w:rsid w:val="00654873"/>
    <w:rsid w:val="00655044"/>
    <w:rsid w:val="00656DAF"/>
    <w:rsid w:val="006577AC"/>
    <w:rsid w:val="00661AEA"/>
    <w:rsid w:val="00664C5B"/>
    <w:rsid w:val="00666922"/>
    <w:rsid w:val="00670F17"/>
    <w:rsid w:val="006710C7"/>
    <w:rsid w:val="00680BBD"/>
    <w:rsid w:val="00681BB6"/>
    <w:rsid w:val="0068360E"/>
    <w:rsid w:val="00684477"/>
    <w:rsid w:val="00684BE4"/>
    <w:rsid w:val="0068620F"/>
    <w:rsid w:val="0068734E"/>
    <w:rsid w:val="00692D76"/>
    <w:rsid w:val="006938AE"/>
    <w:rsid w:val="006945E3"/>
    <w:rsid w:val="00695EA7"/>
    <w:rsid w:val="00696A83"/>
    <w:rsid w:val="006A0453"/>
    <w:rsid w:val="006A11C3"/>
    <w:rsid w:val="006A350B"/>
    <w:rsid w:val="006A4BF0"/>
    <w:rsid w:val="006A58BE"/>
    <w:rsid w:val="006B07D8"/>
    <w:rsid w:val="006B24B9"/>
    <w:rsid w:val="006B2FAE"/>
    <w:rsid w:val="006B3238"/>
    <w:rsid w:val="006B6004"/>
    <w:rsid w:val="006B643F"/>
    <w:rsid w:val="006B75C0"/>
    <w:rsid w:val="006C164E"/>
    <w:rsid w:val="006C4322"/>
    <w:rsid w:val="006C4ADA"/>
    <w:rsid w:val="006C580A"/>
    <w:rsid w:val="006C5D8A"/>
    <w:rsid w:val="006C6367"/>
    <w:rsid w:val="006C6E4C"/>
    <w:rsid w:val="006D1E69"/>
    <w:rsid w:val="006D7C4C"/>
    <w:rsid w:val="006E01C0"/>
    <w:rsid w:val="006E33D4"/>
    <w:rsid w:val="006E6A62"/>
    <w:rsid w:val="006E777A"/>
    <w:rsid w:val="006F057C"/>
    <w:rsid w:val="006F0AB0"/>
    <w:rsid w:val="006F22DA"/>
    <w:rsid w:val="006F271B"/>
    <w:rsid w:val="006F2A3E"/>
    <w:rsid w:val="006F2EB3"/>
    <w:rsid w:val="006F4C76"/>
    <w:rsid w:val="006F7621"/>
    <w:rsid w:val="00700634"/>
    <w:rsid w:val="00702A44"/>
    <w:rsid w:val="00710AE2"/>
    <w:rsid w:val="007116B1"/>
    <w:rsid w:val="00711F26"/>
    <w:rsid w:val="0071322F"/>
    <w:rsid w:val="00713336"/>
    <w:rsid w:val="00714BEE"/>
    <w:rsid w:val="00716C87"/>
    <w:rsid w:val="00721215"/>
    <w:rsid w:val="007224B7"/>
    <w:rsid w:val="00727FE6"/>
    <w:rsid w:val="00735D5C"/>
    <w:rsid w:val="007400CF"/>
    <w:rsid w:val="007408D1"/>
    <w:rsid w:val="00741ACA"/>
    <w:rsid w:val="00744349"/>
    <w:rsid w:val="00745274"/>
    <w:rsid w:val="00745C60"/>
    <w:rsid w:val="0074626B"/>
    <w:rsid w:val="00747078"/>
    <w:rsid w:val="00753864"/>
    <w:rsid w:val="00754267"/>
    <w:rsid w:val="00754C91"/>
    <w:rsid w:val="0076033A"/>
    <w:rsid w:val="00761A88"/>
    <w:rsid w:val="007621D9"/>
    <w:rsid w:val="00762DC2"/>
    <w:rsid w:val="007637C5"/>
    <w:rsid w:val="007646A4"/>
    <w:rsid w:val="00764A4D"/>
    <w:rsid w:val="007672F6"/>
    <w:rsid w:val="00767390"/>
    <w:rsid w:val="0077005B"/>
    <w:rsid w:val="00770255"/>
    <w:rsid w:val="00772CB6"/>
    <w:rsid w:val="00772F06"/>
    <w:rsid w:val="007738DA"/>
    <w:rsid w:val="00775AE4"/>
    <w:rsid w:val="00775EAC"/>
    <w:rsid w:val="00776B6A"/>
    <w:rsid w:val="00776BE5"/>
    <w:rsid w:val="00776C62"/>
    <w:rsid w:val="007774DC"/>
    <w:rsid w:val="0078111B"/>
    <w:rsid w:val="00784C37"/>
    <w:rsid w:val="00786EF9"/>
    <w:rsid w:val="00791D7D"/>
    <w:rsid w:val="00795033"/>
    <w:rsid w:val="007A1C58"/>
    <w:rsid w:val="007A522F"/>
    <w:rsid w:val="007A5F39"/>
    <w:rsid w:val="007B0D98"/>
    <w:rsid w:val="007B1B59"/>
    <w:rsid w:val="007B23FC"/>
    <w:rsid w:val="007B2DAE"/>
    <w:rsid w:val="007B5C74"/>
    <w:rsid w:val="007B74D6"/>
    <w:rsid w:val="007C0885"/>
    <w:rsid w:val="007C5023"/>
    <w:rsid w:val="007C52DD"/>
    <w:rsid w:val="007C7703"/>
    <w:rsid w:val="007C7C85"/>
    <w:rsid w:val="007D0C1D"/>
    <w:rsid w:val="007D2000"/>
    <w:rsid w:val="007D20B8"/>
    <w:rsid w:val="007D40EC"/>
    <w:rsid w:val="007D484F"/>
    <w:rsid w:val="007D4DBF"/>
    <w:rsid w:val="007D54E7"/>
    <w:rsid w:val="007E167F"/>
    <w:rsid w:val="007E4460"/>
    <w:rsid w:val="007E45D0"/>
    <w:rsid w:val="007E4732"/>
    <w:rsid w:val="007E4BA4"/>
    <w:rsid w:val="007F004E"/>
    <w:rsid w:val="007F201A"/>
    <w:rsid w:val="007F335A"/>
    <w:rsid w:val="007F4121"/>
    <w:rsid w:val="00803104"/>
    <w:rsid w:val="00803126"/>
    <w:rsid w:val="00806AA0"/>
    <w:rsid w:val="00806D74"/>
    <w:rsid w:val="0080759A"/>
    <w:rsid w:val="00807F7C"/>
    <w:rsid w:val="00812901"/>
    <w:rsid w:val="00813734"/>
    <w:rsid w:val="008146BE"/>
    <w:rsid w:val="0081554D"/>
    <w:rsid w:val="00822501"/>
    <w:rsid w:val="00822E47"/>
    <w:rsid w:val="0082582D"/>
    <w:rsid w:val="00826B9A"/>
    <w:rsid w:val="0083362A"/>
    <w:rsid w:val="00836B0E"/>
    <w:rsid w:val="008403F1"/>
    <w:rsid w:val="00842757"/>
    <w:rsid w:val="00842DA8"/>
    <w:rsid w:val="00843666"/>
    <w:rsid w:val="00843CC2"/>
    <w:rsid w:val="00844905"/>
    <w:rsid w:val="00844D38"/>
    <w:rsid w:val="00846C70"/>
    <w:rsid w:val="00851DA5"/>
    <w:rsid w:val="0085266D"/>
    <w:rsid w:val="00854C61"/>
    <w:rsid w:val="00856954"/>
    <w:rsid w:val="00860480"/>
    <w:rsid w:val="00862803"/>
    <w:rsid w:val="00862A84"/>
    <w:rsid w:val="00863C7B"/>
    <w:rsid w:val="00864AF9"/>
    <w:rsid w:val="0086527E"/>
    <w:rsid w:val="008661C3"/>
    <w:rsid w:val="008667FE"/>
    <w:rsid w:val="00867510"/>
    <w:rsid w:val="00867F1A"/>
    <w:rsid w:val="00871B74"/>
    <w:rsid w:val="00872A94"/>
    <w:rsid w:val="00872AF6"/>
    <w:rsid w:val="00874453"/>
    <w:rsid w:val="0087652C"/>
    <w:rsid w:val="008802BA"/>
    <w:rsid w:val="008804A1"/>
    <w:rsid w:val="00881E39"/>
    <w:rsid w:val="00884628"/>
    <w:rsid w:val="008850B8"/>
    <w:rsid w:val="0088532D"/>
    <w:rsid w:val="00885403"/>
    <w:rsid w:val="00886085"/>
    <w:rsid w:val="00886676"/>
    <w:rsid w:val="008909B2"/>
    <w:rsid w:val="00891659"/>
    <w:rsid w:val="0089262A"/>
    <w:rsid w:val="0089555F"/>
    <w:rsid w:val="008A385D"/>
    <w:rsid w:val="008A5AA0"/>
    <w:rsid w:val="008A6334"/>
    <w:rsid w:val="008A65B4"/>
    <w:rsid w:val="008A6EFC"/>
    <w:rsid w:val="008A75F0"/>
    <w:rsid w:val="008B2B26"/>
    <w:rsid w:val="008B36BB"/>
    <w:rsid w:val="008B4623"/>
    <w:rsid w:val="008B4828"/>
    <w:rsid w:val="008B5BFB"/>
    <w:rsid w:val="008B614E"/>
    <w:rsid w:val="008B641B"/>
    <w:rsid w:val="008B6C1F"/>
    <w:rsid w:val="008C13F6"/>
    <w:rsid w:val="008C2514"/>
    <w:rsid w:val="008C2F07"/>
    <w:rsid w:val="008C3FB1"/>
    <w:rsid w:val="008C6459"/>
    <w:rsid w:val="008C64A2"/>
    <w:rsid w:val="008D119A"/>
    <w:rsid w:val="008D179B"/>
    <w:rsid w:val="008D195A"/>
    <w:rsid w:val="008D609F"/>
    <w:rsid w:val="008D6535"/>
    <w:rsid w:val="008E0726"/>
    <w:rsid w:val="008E0CFA"/>
    <w:rsid w:val="008E224D"/>
    <w:rsid w:val="008E3352"/>
    <w:rsid w:val="008E5747"/>
    <w:rsid w:val="008E7019"/>
    <w:rsid w:val="008F0430"/>
    <w:rsid w:val="008F149A"/>
    <w:rsid w:val="008F2B72"/>
    <w:rsid w:val="008F400D"/>
    <w:rsid w:val="008F525A"/>
    <w:rsid w:val="008F5D80"/>
    <w:rsid w:val="0090000F"/>
    <w:rsid w:val="00900943"/>
    <w:rsid w:val="009011B5"/>
    <w:rsid w:val="009052D3"/>
    <w:rsid w:val="009112B8"/>
    <w:rsid w:val="009117E3"/>
    <w:rsid w:val="009166B9"/>
    <w:rsid w:val="00917C1B"/>
    <w:rsid w:val="009204DA"/>
    <w:rsid w:val="00922FED"/>
    <w:rsid w:val="00923365"/>
    <w:rsid w:val="00923662"/>
    <w:rsid w:val="0092508E"/>
    <w:rsid w:val="00925185"/>
    <w:rsid w:val="0092530B"/>
    <w:rsid w:val="00925C89"/>
    <w:rsid w:val="00930646"/>
    <w:rsid w:val="009323F7"/>
    <w:rsid w:val="009330A3"/>
    <w:rsid w:val="009335B2"/>
    <w:rsid w:val="00933BF6"/>
    <w:rsid w:val="009341A6"/>
    <w:rsid w:val="009350A3"/>
    <w:rsid w:val="00935B9C"/>
    <w:rsid w:val="00936D32"/>
    <w:rsid w:val="00937425"/>
    <w:rsid w:val="0094208C"/>
    <w:rsid w:val="00942F17"/>
    <w:rsid w:val="0094316F"/>
    <w:rsid w:val="00943236"/>
    <w:rsid w:val="00947F3E"/>
    <w:rsid w:val="00950519"/>
    <w:rsid w:val="00952536"/>
    <w:rsid w:val="00952CEF"/>
    <w:rsid w:val="0095326C"/>
    <w:rsid w:val="00955421"/>
    <w:rsid w:val="0095546D"/>
    <w:rsid w:val="009554C7"/>
    <w:rsid w:val="00956F51"/>
    <w:rsid w:val="009636DB"/>
    <w:rsid w:val="009638FC"/>
    <w:rsid w:val="00972E8C"/>
    <w:rsid w:val="0097525E"/>
    <w:rsid w:val="0097668D"/>
    <w:rsid w:val="00983CA9"/>
    <w:rsid w:val="0098626D"/>
    <w:rsid w:val="00990E9C"/>
    <w:rsid w:val="00994542"/>
    <w:rsid w:val="00994908"/>
    <w:rsid w:val="0099599C"/>
    <w:rsid w:val="00996915"/>
    <w:rsid w:val="00997432"/>
    <w:rsid w:val="009A1E7B"/>
    <w:rsid w:val="009A2241"/>
    <w:rsid w:val="009A3C9B"/>
    <w:rsid w:val="009A68FA"/>
    <w:rsid w:val="009A6D0E"/>
    <w:rsid w:val="009A7182"/>
    <w:rsid w:val="009A71CE"/>
    <w:rsid w:val="009B0A4E"/>
    <w:rsid w:val="009B160B"/>
    <w:rsid w:val="009B26A3"/>
    <w:rsid w:val="009B343F"/>
    <w:rsid w:val="009B5EFF"/>
    <w:rsid w:val="009C0CD6"/>
    <w:rsid w:val="009C237B"/>
    <w:rsid w:val="009C48A5"/>
    <w:rsid w:val="009C4DD1"/>
    <w:rsid w:val="009C5EB6"/>
    <w:rsid w:val="009C6354"/>
    <w:rsid w:val="009C6BE5"/>
    <w:rsid w:val="009D0A17"/>
    <w:rsid w:val="009D5A6A"/>
    <w:rsid w:val="009E0B31"/>
    <w:rsid w:val="009E14E9"/>
    <w:rsid w:val="009E23D3"/>
    <w:rsid w:val="009E431C"/>
    <w:rsid w:val="009E5A93"/>
    <w:rsid w:val="009E6F65"/>
    <w:rsid w:val="009F2340"/>
    <w:rsid w:val="009F3154"/>
    <w:rsid w:val="009F3F29"/>
    <w:rsid w:val="009F6ED1"/>
    <w:rsid w:val="009F75A5"/>
    <w:rsid w:val="00A0692E"/>
    <w:rsid w:val="00A1211C"/>
    <w:rsid w:val="00A1316D"/>
    <w:rsid w:val="00A15583"/>
    <w:rsid w:val="00A16300"/>
    <w:rsid w:val="00A20113"/>
    <w:rsid w:val="00A209D4"/>
    <w:rsid w:val="00A20D78"/>
    <w:rsid w:val="00A2215F"/>
    <w:rsid w:val="00A22798"/>
    <w:rsid w:val="00A22839"/>
    <w:rsid w:val="00A22C67"/>
    <w:rsid w:val="00A23BEF"/>
    <w:rsid w:val="00A23E19"/>
    <w:rsid w:val="00A24610"/>
    <w:rsid w:val="00A314A6"/>
    <w:rsid w:val="00A32B91"/>
    <w:rsid w:val="00A32FDF"/>
    <w:rsid w:val="00A33185"/>
    <w:rsid w:val="00A3392C"/>
    <w:rsid w:val="00A34513"/>
    <w:rsid w:val="00A35F3B"/>
    <w:rsid w:val="00A36113"/>
    <w:rsid w:val="00A37305"/>
    <w:rsid w:val="00A42B9D"/>
    <w:rsid w:val="00A47816"/>
    <w:rsid w:val="00A47CEB"/>
    <w:rsid w:val="00A50F28"/>
    <w:rsid w:val="00A518AB"/>
    <w:rsid w:val="00A531A4"/>
    <w:rsid w:val="00A53B04"/>
    <w:rsid w:val="00A54BE8"/>
    <w:rsid w:val="00A55B60"/>
    <w:rsid w:val="00A55F42"/>
    <w:rsid w:val="00A60418"/>
    <w:rsid w:val="00A61103"/>
    <w:rsid w:val="00A661F4"/>
    <w:rsid w:val="00A66326"/>
    <w:rsid w:val="00A67233"/>
    <w:rsid w:val="00A70683"/>
    <w:rsid w:val="00A70E95"/>
    <w:rsid w:val="00A716D1"/>
    <w:rsid w:val="00A72401"/>
    <w:rsid w:val="00A7271A"/>
    <w:rsid w:val="00A73D1E"/>
    <w:rsid w:val="00A73FED"/>
    <w:rsid w:val="00A74D79"/>
    <w:rsid w:val="00A75504"/>
    <w:rsid w:val="00A768B2"/>
    <w:rsid w:val="00A8038C"/>
    <w:rsid w:val="00A81E19"/>
    <w:rsid w:val="00A92E9C"/>
    <w:rsid w:val="00A93894"/>
    <w:rsid w:val="00A9491E"/>
    <w:rsid w:val="00A9645F"/>
    <w:rsid w:val="00A9723B"/>
    <w:rsid w:val="00A97463"/>
    <w:rsid w:val="00AA0754"/>
    <w:rsid w:val="00AA32C5"/>
    <w:rsid w:val="00AB0C33"/>
    <w:rsid w:val="00AB304C"/>
    <w:rsid w:val="00AB3BAC"/>
    <w:rsid w:val="00AB4677"/>
    <w:rsid w:val="00AB4CEC"/>
    <w:rsid w:val="00AB795F"/>
    <w:rsid w:val="00AC2D80"/>
    <w:rsid w:val="00AC3FE4"/>
    <w:rsid w:val="00AC6312"/>
    <w:rsid w:val="00AC6C36"/>
    <w:rsid w:val="00AD06DC"/>
    <w:rsid w:val="00AD178B"/>
    <w:rsid w:val="00AD1E77"/>
    <w:rsid w:val="00AD2512"/>
    <w:rsid w:val="00AD29C2"/>
    <w:rsid w:val="00AD51F7"/>
    <w:rsid w:val="00AD5B69"/>
    <w:rsid w:val="00AD6D80"/>
    <w:rsid w:val="00AE26A6"/>
    <w:rsid w:val="00AE3317"/>
    <w:rsid w:val="00AF013D"/>
    <w:rsid w:val="00AF5FA8"/>
    <w:rsid w:val="00B008A4"/>
    <w:rsid w:val="00B03F21"/>
    <w:rsid w:val="00B0612E"/>
    <w:rsid w:val="00B069B9"/>
    <w:rsid w:val="00B10C59"/>
    <w:rsid w:val="00B113ED"/>
    <w:rsid w:val="00B11586"/>
    <w:rsid w:val="00B1160D"/>
    <w:rsid w:val="00B12740"/>
    <w:rsid w:val="00B139FB"/>
    <w:rsid w:val="00B16398"/>
    <w:rsid w:val="00B20971"/>
    <w:rsid w:val="00B252AA"/>
    <w:rsid w:val="00B254A7"/>
    <w:rsid w:val="00B25AA4"/>
    <w:rsid w:val="00B3276E"/>
    <w:rsid w:val="00B33BE4"/>
    <w:rsid w:val="00B366DF"/>
    <w:rsid w:val="00B412A5"/>
    <w:rsid w:val="00B424E1"/>
    <w:rsid w:val="00B43A07"/>
    <w:rsid w:val="00B43E56"/>
    <w:rsid w:val="00B444E6"/>
    <w:rsid w:val="00B52011"/>
    <w:rsid w:val="00B5385F"/>
    <w:rsid w:val="00B53EFF"/>
    <w:rsid w:val="00B54AFA"/>
    <w:rsid w:val="00B565A9"/>
    <w:rsid w:val="00B60C1D"/>
    <w:rsid w:val="00B61FA8"/>
    <w:rsid w:val="00B64F9A"/>
    <w:rsid w:val="00B66FE9"/>
    <w:rsid w:val="00B671A4"/>
    <w:rsid w:val="00B673E9"/>
    <w:rsid w:val="00B70122"/>
    <w:rsid w:val="00B7017C"/>
    <w:rsid w:val="00B71A15"/>
    <w:rsid w:val="00B72724"/>
    <w:rsid w:val="00B72870"/>
    <w:rsid w:val="00B7495E"/>
    <w:rsid w:val="00B74AAE"/>
    <w:rsid w:val="00B804E8"/>
    <w:rsid w:val="00B821C1"/>
    <w:rsid w:val="00B8566B"/>
    <w:rsid w:val="00B864B6"/>
    <w:rsid w:val="00B867A2"/>
    <w:rsid w:val="00B86CC9"/>
    <w:rsid w:val="00B92A3F"/>
    <w:rsid w:val="00B93923"/>
    <w:rsid w:val="00B9449F"/>
    <w:rsid w:val="00B9494C"/>
    <w:rsid w:val="00BA080F"/>
    <w:rsid w:val="00BA218E"/>
    <w:rsid w:val="00BA3A7A"/>
    <w:rsid w:val="00BA3CDF"/>
    <w:rsid w:val="00BA45D5"/>
    <w:rsid w:val="00BA5C39"/>
    <w:rsid w:val="00BA735D"/>
    <w:rsid w:val="00BB01C1"/>
    <w:rsid w:val="00BB1FB2"/>
    <w:rsid w:val="00BB255D"/>
    <w:rsid w:val="00BB25FA"/>
    <w:rsid w:val="00BB316D"/>
    <w:rsid w:val="00BB4F7A"/>
    <w:rsid w:val="00BB6A32"/>
    <w:rsid w:val="00BC1B86"/>
    <w:rsid w:val="00BC206C"/>
    <w:rsid w:val="00BC3BEA"/>
    <w:rsid w:val="00BC431A"/>
    <w:rsid w:val="00BD0D81"/>
    <w:rsid w:val="00BD44D0"/>
    <w:rsid w:val="00BD4999"/>
    <w:rsid w:val="00BD5A69"/>
    <w:rsid w:val="00BE1E25"/>
    <w:rsid w:val="00BE3636"/>
    <w:rsid w:val="00BE3B42"/>
    <w:rsid w:val="00BE41B2"/>
    <w:rsid w:val="00BE4A4C"/>
    <w:rsid w:val="00BF5AFA"/>
    <w:rsid w:val="00BF61CB"/>
    <w:rsid w:val="00BF73CF"/>
    <w:rsid w:val="00C01118"/>
    <w:rsid w:val="00C01202"/>
    <w:rsid w:val="00C012F0"/>
    <w:rsid w:val="00C01A35"/>
    <w:rsid w:val="00C02795"/>
    <w:rsid w:val="00C02C1D"/>
    <w:rsid w:val="00C02C2E"/>
    <w:rsid w:val="00C03772"/>
    <w:rsid w:val="00C04EDA"/>
    <w:rsid w:val="00C0509E"/>
    <w:rsid w:val="00C05E33"/>
    <w:rsid w:val="00C06213"/>
    <w:rsid w:val="00C07623"/>
    <w:rsid w:val="00C119A2"/>
    <w:rsid w:val="00C12447"/>
    <w:rsid w:val="00C12878"/>
    <w:rsid w:val="00C16F6B"/>
    <w:rsid w:val="00C26D20"/>
    <w:rsid w:val="00C273E6"/>
    <w:rsid w:val="00C3045E"/>
    <w:rsid w:val="00C30FBD"/>
    <w:rsid w:val="00C31ED8"/>
    <w:rsid w:val="00C329DD"/>
    <w:rsid w:val="00C32D3B"/>
    <w:rsid w:val="00C33917"/>
    <w:rsid w:val="00C35AC1"/>
    <w:rsid w:val="00C35C75"/>
    <w:rsid w:val="00C412D9"/>
    <w:rsid w:val="00C44673"/>
    <w:rsid w:val="00C44BFB"/>
    <w:rsid w:val="00C47A87"/>
    <w:rsid w:val="00C51904"/>
    <w:rsid w:val="00C53B78"/>
    <w:rsid w:val="00C53CBC"/>
    <w:rsid w:val="00C53F1A"/>
    <w:rsid w:val="00C546DA"/>
    <w:rsid w:val="00C569DD"/>
    <w:rsid w:val="00C57267"/>
    <w:rsid w:val="00C60159"/>
    <w:rsid w:val="00C608FA"/>
    <w:rsid w:val="00C616FF"/>
    <w:rsid w:val="00C62B63"/>
    <w:rsid w:val="00C64A8F"/>
    <w:rsid w:val="00C6676A"/>
    <w:rsid w:val="00C70D08"/>
    <w:rsid w:val="00C72B5B"/>
    <w:rsid w:val="00C7307A"/>
    <w:rsid w:val="00C74378"/>
    <w:rsid w:val="00C756DE"/>
    <w:rsid w:val="00C77E21"/>
    <w:rsid w:val="00C804F9"/>
    <w:rsid w:val="00C80F54"/>
    <w:rsid w:val="00C838EF"/>
    <w:rsid w:val="00C8478B"/>
    <w:rsid w:val="00C8535E"/>
    <w:rsid w:val="00C869F3"/>
    <w:rsid w:val="00C87DD2"/>
    <w:rsid w:val="00C94A84"/>
    <w:rsid w:val="00C94B18"/>
    <w:rsid w:val="00C9525F"/>
    <w:rsid w:val="00C953E4"/>
    <w:rsid w:val="00CA1166"/>
    <w:rsid w:val="00CA3A6B"/>
    <w:rsid w:val="00CA5E23"/>
    <w:rsid w:val="00CB3F0E"/>
    <w:rsid w:val="00CB6164"/>
    <w:rsid w:val="00CC18AC"/>
    <w:rsid w:val="00CC651D"/>
    <w:rsid w:val="00CD30A6"/>
    <w:rsid w:val="00CD3C63"/>
    <w:rsid w:val="00CD45EA"/>
    <w:rsid w:val="00CD6E61"/>
    <w:rsid w:val="00CD6EA1"/>
    <w:rsid w:val="00CD7D5D"/>
    <w:rsid w:val="00CE0659"/>
    <w:rsid w:val="00CE08CF"/>
    <w:rsid w:val="00CE6310"/>
    <w:rsid w:val="00CF0621"/>
    <w:rsid w:val="00CF0FC4"/>
    <w:rsid w:val="00CF6932"/>
    <w:rsid w:val="00CF6E2E"/>
    <w:rsid w:val="00D009E6"/>
    <w:rsid w:val="00D01FE3"/>
    <w:rsid w:val="00D03665"/>
    <w:rsid w:val="00D0381E"/>
    <w:rsid w:val="00D0410B"/>
    <w:rsid w:val="00D06CA3"/>
    <w:rsid w:val="00D07F46"/>
    <w:rsid w:val="00D103DF"/>
    <w:rsid w:val="00D114D7"/>
    <w:rsid w:val="00D11B6D"/>
    <w:rsid w:val="00D13B9C"/>
    <w:rsid w:val="00D13FB3"/>
    <w:rsid w:val="00D1577B"/>
    <w:rsid w:val="00D170E5"/>
    <w:rsid w:val="00D21A31"/>
    <w:rsid w:val="00D3220D"/>
    <w:rsid w:val="00D32D9C"/>
    <w:rsid w:val="00D378F7"/>
    <w:rsid w:val="00D37F2F"/>
    <w:rsid w:val="00D415B9"/>
    <w:rsid w:val="00D430EA"/>
    <w:rsid w:val="00D43C58"/>
    <w:rsid w:val="00D44ED9"/>
    <w:rsid w:val="00D46542"/>
    <w:rsid w:val="00D4707E"/>
    <w:rsid w:val="00D528E8"/>
    <w:rsid w:val="00D5690A"/>
    <w:rsid w:val="00D64775"/>
    <w:rsid w:val="00D66B7B"/>
    <w:rsid w:val="00D704D2"/>
    <w:rsid w:val="00D7214B"/>
    <w:rsid w:val="00D750A0"/>
    <w:rsid w:val="00D75425"/>
    <w:rsid w:val="00D76F11"/>
    <w:rsid w:val="00D771D0"/>
    <w:rsid w:val="00D77EBC"/>
    <w:rsid w:val="00D823C7"/>
    <w:rsid w:val="00D835CF"/>
    <w:rsid w:val="00D86044"/>
    <w:rsid w:val="00D93CAC"/>
    <w:rsid w:val="00D93ECF"/>
    <w:rsid w:val="00D965C4"/>
    <w:rsid w:val="00DA04AC"/>
    <w:rsid w:val="00DA176F"/>
    <w:rsid w:val="00DA26FB"/>
    <w:rsid w:val="00DA3541"/>
    <w:rsid w:val="00DA36BE"/>
    <w:rsid w:val="00DA3B6B"/>
    <w:rsid w:val="00DA7E07"/>
    <w:rsid w:val="00DB16C9"/>
    <w:rsid w:val="00DB2102"/>
    <w:rsid w:val="00DB2F2F"/>
    <w:rsid w:val="00DB3B5E"/>
    <w:rsid w:val="00DB6C3D"/>
    <w:rsid w:val="00DC3FD6"/>
    <w:rsid w:val="00DC5ACF"/>
    <w:rsid w:val="00DC698B"/>
    <w:rsid w:val="00DD1002"/>
    <w:rsid w:val="00DD1893"/>
    <w:rsid w:val="00DD3573"/>
    <w:rsid w:val="00DD5077"/>
    <w:rsid w:val="00DD59DA"/>
    <w:rsid w:val="00DD7468"/>
    <w:rsid w:val="00DD7A93"/>
    <w:rsid w:val="00DE04B8"/>
    <w:rsid w:val="00DE1055"/>
    <w:rsid w:val="00DE25E9"/>
    <w:rsid w:val="00DE4743"/>
    <w:rsid w:val="00DE66ED"/>
    <w:rsid w:val="00DE71D3"/>
    <w:rsid w:val="00DE72CF"/>
    <w:rsid w:val="00DF08A0"/>
    <w:rsid w:val="00DF0B4A"/>
    <w:rsid w:val="00DF1016"/>
    <w:rsid w:val="00DF2D34"/>
    <w:rsid w:val="00DF309B"/>
    <w:rsid w:val="00E01CA5"/>
    <w:rsid w:val="00E050FD"/>
    <w:rsid w:val="00E05254"/>
    <w:rsid w:val="00E067DC"/>
    <w:rsid w:val="00E07612"/>
    <w:rsid w:val="00E10825"/>
    <w:rsid w:val="00E133C4"/>
    <w:rsid w:val="00E13BEF"/>
    <w:rsid w:val="00E1656A"/>
    <w:rsid w:val="00E17252"/>
    <w:rsid w:val="00E179EC"/>
    <w:rsid w:val="00E2036E"/>
    <w:rsid w:val="00E321CD"/>
    <w:rsid w:val="00E33CB5"/>
    <w:rsid w:val="00E343D3"/>
    <w:rsid w:val="00E3482D"/>
    <w:rsid w:val="00E37732"/>
    <w:rsid w:val="00E37C90"/>
    <w:rsid w:val="00E40F19"/>
    <w:rsid w:val="00E501EB"/>
    <w:rsid w:val="00E529FB"/>
    <w:rsid w:val="00E555C6"/>
    <w:rsid w:val="00E57C4B"/>
    <w:rsid w:val="00E62106"/>
    <w:rsid w:val="00E70760"/>
    <w:rsid w:val="00E70BA3"/>
    <w:rsid w:val="00E73A64"/>
    <w:rsid w:val="00E741B3"/>
    <w:rsid w:val="00E80012"/>
    <w:rsid w:val="00E80729"/>
    <w:rsid w:val="00E816A8"/>
    <w:rsid w:val="00E913FA"/>
    <w:rsid w:val="00E9253C"/>
    <w:rsid w:val="00E941C8"/>
    <w:rsid w:val="00E96D11"/>
    <w:rsid w:val="00E96E52"/>
    <w:rsid w:val="00E9755D"/>
    <w:rsid w:val="00E976C5"/>
    <w:rsid w:val="00EA33E1"/>
    <w:rsid w:val="00EB2D89"/>
    <w:rsid w:val="00EB3CF0"/>
    <w:rsid w:val="00EB45B5"/>
    <w:rsid w:val="00EB5383"/>
    <w:rsid w:val="00EB5E57"/>
    <w:rsid w:val="00EB61DB"/>
    <w:rsid w:val="00EB76CD"/>
    <w:rsid w:val="00EC1CA6"/>
    <w:rsid w:val="00EC5836"/>
    <w:rsid w:val="00ED0403"/>
    <w:rsid w:val="00ED1AD0"/>
    <w:rsid w:val="00ED2518"/>
    <w:rsid w:val="00ED4AFD"/>
    <w:rsid w:val="00ED4EBD"/>
    <w:rsid w:val="00ED5038"/>
    <w:rsid w:val="00ED52F3"/>
    <w:rsid w:val="00ED6618"/>
    <w:rsid w:val="00ED6776"/>
    <w:rsid w:val="00EE21E3"/>
    <w:rsid w:val="00EE2333"/>
    <w:rsid w:val="00EE4FBE"/>
    <w:rsid w:val="00EE7A48"/>
    <w:rsid w:val="00EF0D2E"/>
    <w:rsid w:val="00EF2334"/>
    <w:rsid w:val="00EF40E8"/>
    <w:rsid w:val="00EF4AEC"/>
    <w:rsid w:val="00EF740E"/>
    <w:rsid w:val="00EF7957"/>
    <w:rsid w:val="00F00ADA"/>
    <w:rsid w:val="00F038A1"/>
    <w:rsid w:val="00F04B2A"/>
    <w:rsid w:val="00F057AF"/>
    <w:rsid w:val="00F06E4E"/>
    <w:rsid w:val="00F13E86"/>
    <w:rsid w:val="00F13EA5"/>
    <w:rsid w:val="00F2066E"/>
    <w:rsid w:val="00F20A40"/>
    <w:rsid w:val="00F238E0"/>
    <w:rsid w:val="00F244A3"/>
    <w:rsid w:val="00F246DD"/>
    <w:rsid w:val="00F25D81"/>
    <w:rsid w:val="00F32425"/>
    <w:rsid w:val="00F324BC"/>
    <w:rsid w:val="00F34E3D"/>
    <w:rsid w:val="00F353EA"/>
    <w:rsid w:val="00F35954"/>
    <w:rsid w:val="00F35B0A"/>
    <w:rsid w:val="00F360E9"/>
    <w:rsid w:val="00F3650F"/>
    <w:rsid w:val="00F43269"/>
    <w:rsid w:val="00F43410"/>
    <w:rsid w:val="00F43715"/>
    <w:rsid w:val="00F44229"/>
    <w:rsid w:val="00F44755"/>
    <w:rsid w:val="00F44DBD"/>
    <w:rsid w:val="00F46C6E"/>
    <w:rsid w:val="00F50078"/>
    <w:rsid w:val="00F51235"/>
    <w:rsid w:val="00F51E01"/>
    <w:rsid w:val="00F5244F"/>
    <w:rsid w:val="00F527D0"/>
    <w:rsid w:val="00F54784"/>
    <w:rsid w:val="00F551CC"/>
    <w:rsid w:val="00F5649A"/>
    <w:rsid w:val="00F623F6"/>
    <w:rsid w:val="00F67DC5"/>
    <w:rsid w:val="00F7200E"/>
    <w:rsid w:val="00F81D71"/>
    <w:rsid w:val="00F82342"/>
    <w:rsid w:val="00F86B52"/>
    <w:rsid w:val="00F86BF4"/>
    <w:rsid w:val="00F877DB"/>
    <w:rsid w:val="00F91AE4"/>
    <w:rsid w:val="00F93C8B"/>
    <w:rsid w:val="00F959DD"/>
    <w:rsid w:val="00F960D5"/>
    <w:rsid w:val="00F975C5"/>
    <w:rsid w:val="00FA1A8A"/>
    <w:rsid w:val="00FA3CDD"/>
    <w:rsid w:val="00FB093C"/>
    <w:rsid w:val="00FB0B94"/>
    <w:rsid w:val="00FB1231"/>
    <w:rsid w:val="00FB2295"/>
    <w:rsid w:val="00FB3F2F"/>
    <w:rsid w:val="00FB458B"/>
    <w:rsid w:val="00FB4AD6"/>
    <w:rsid w:val="00FB5729"/>
    <w:rsid w:val="00FB6760"/>
    <w:rsid w:val="00FB6D92"/>
    <w:rsid w:val="00FC0E6E"/>
    <w:rsid w:val="00FC1837"/>
    <w:rsid w:val="00FC1C5C"/>
    <w:rsid w:val="00FC1FDF"/>
    <w:rsid w:val="00FC379F"/>
    <w:rsid w:val="00FC3BE9"/>
    <w:rsid w:val="00FC401A"/>
    <w:rsid w:val="00FC5775"/>
    <w:rsid w:val="00FC5F0B"/>
    <w:rsid w:val="00FD1CA0"/>
    <w:rsid w:val="00FD6586"/>
    <w:rsid w:val="00FE17E2"/>
    <w:rsid w:val="00FE1DB1"/>
    <w:rsid w:val="00FE2A88"/>
    <w:rsid w:val="00FE332A"/>
    <w:rsid w:val="00FE62AB"/>
    <w:rsid w:val="00FF2095"/>
    <w:rsid w:val="00FF2BBC"/>
    <w:rsid w:val="00FF2F9D"/>
    <w:rsid w:val="00FF43AE"/>
    <w:rsid w:val="00FF4E7E"/>
    <w:rsid w:val="00FF5840"/>
    <w:rsid w:val="00FF6E4B"/>
    <w:rsid w:val="03A04F7B"/>
    <w:rsid w:val="058AE76D"/>
    <w:rsid w:val="07B9E9A1"/>
    <w:rsid w:val="0849CCF2"/>
    <w:rsid w:val="0E8C6104"/>
    <w:rsid w:val="0F9200F4"/>
    <w:rsid w:val="12235FA1"/>
    <w:rsid w:val="1308256D"/>
    <w:rsid w:val="17F41994"/>
    <w:rsid w:val="1C1BC954"/>
    <w:rsid w:val="1CC8BDDD"/>
    <w:rsid w:val="1E41C0C3"/>
    <w:rsid w:val="1F0EE9FB"/>
    <w:rsid w:val="2133139C"/>
    <w:rsid w:val="224DF7B4"/>
    <w:rsid w:val="23B6646C"/>
    <w:rsid w:val="25A2F66E"/>
    <w:rsid w:val="2697ADCA"/>
    <w:rsid w:val="2896C77B"/>
    <w:rsid w:val="2921F463"/>
    <w:rsid w:val="2A3297DC"/>
    <w:rsid w:val="2D363C95"/>
    <w:rsid w:val="2EDF850A"/>
    <w:rsid w:val="3215D983"/>
    <w:rsid w:val="32959AF1"/>
    <w:rsid w:val="353475EB"/>
    <w:rsid w:val="3EE6BB5E"/>
    <w:rsid w:val="4800DDEE"/>
    <w:rsid w:val="49CFD7D8"/>
    <w:rsid w:val="4C377D9C"/>
    <w:rsid w:val="4E379081"/>
    <w:rsid w:val="4FFE4D9A"/>
    <w:rsid w:val="53EB4ACF"/>
    <w:rsid w:val="55DAD3D7"/>
    <w:rsid w:val="572A1647"/>
    <w:rsid w:val="576EF44A"/>
    <w:rsid w:val="5908CE47"/>
    <w:rsid w:val="597B4218"/>
    <w:rsid w:val="5A1128E0"/>
    <w:rsid w:val="630BC6FA"/>
    <w:rsid w:val="65940692"/>
    <w:rsid w:val="6DA7529E"/>
    <w:rsid w:val="7D77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E045FD16-6EF7-419E-97A2-675C009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4F4928"/>
    <w:rPr>
      <w:sz w:val="16"/>
      <w:szCs w:val="16"/>
    </w:rPr>
  </w:style>
  <w:style w:type="paragraph" w:styleId="CommentText">
    <w:name w:val="annotation text"/>
    <w:basedOn w:val="Normal"/>
    <w:link w:val="CommentTextChar"/>
    <w:semiHidden/>
    <w:unhideWhenUsed/>
    <w:rsid w:val="004F4928"/>
    <w:rPr>
      <w:sz w:val="20"/>
    </w:rPr>
  </w:style>
  <w:style w:type="character" w:customStyle="1" w:styleId="CommentTextChar">
    <w:name w:val="Comment Text Char"/>
    <w:basedOn w:val="DefaultParagraphFont"/>
    <w:link w:val="CommentText"/>
    <w:semiHidden/>
    <w:rsid w:val="004F4928"/>
    <w:rPr>
      <w:rFonts w:ascii="Arial" w:hAnsi="Arial"/>
      <w:lang w:eastAsia="en-US"/>
    </w:rPr>
  </w:style>
  <w:style w:type="paragraph" w:styleId="CommentSubject">
    <w:name w:val="annotation subject"/>
    <w:basedOn w:val="CommentText"/>
    <w:next w:val="CommentText"/>
    <w:link w:val="CommentSubjectChar"/>
    <w:semiHidden/>
    <w:unhideWhenUsed/>
    <w:rsid w:val="004F4928"/>
    <w:rPr>
      <w:b/>
      <w:bCs/>
    </w:rPr>
  </w:style>
  <w:style w:type="character" w:customStyle="1" w:styleId="CommentSubjectChar">
    <w:name w:val="Comment Subject Char"/>
    <w:basedOn w:val="CommentTextChar"/>
    <w:link w:val="CommentSubject"/>
    <w:semiHidden/>
    <w:rsid w:val="004F4928"/>
    <w:rPr>
      <w:rFonts w:ascii="Arial" w:hAnsi="Arial"/>
      <w:b/>
      <w:bCs/>
      <w:lang w:eastAsia="en-US"/>
    </w:rPr>
  </w:style>
  <w:style w:type="character" w:customStyle="1" w:styleId="tabchar">
    <w:name w:val="tabchar"/>
    <w:basedOn w:val="DefaultParagraphFont"/>
    <w:rsid w:val="00FF2F9D"/>
  </w:style>
  <w:style w:type="paragraph" w:styleId="Revision">
    <w:name w:val="Revision"/>
    <w:hidden/>
    <w:uiPriority w:val="99"/>
    <w:semiHidden/>
    <w:rsid w:val="0027081D"/>
    <w:rPr>
      <w:rFonts w:ascii="Arial" w:hAnsi="Arial"/>
      <w:sz w:val="24"/>
      <w:lang w:eastAsia="en-US"/>
    </w:rPr>
  </w:style>
  <w:style w:type="character" w:customStyle="1" w:styleId="Heading2Char">
    <w:name w:val="Heading 2 Char"/>
    <w:basedOn w:val="DefaultParagraphFont"/>
    <w:link w:val="Heading2"/>
    <w:rsid w:val="00621EA6"/>
    <w:rPr>
      <w:rFonts w:ascii="Arial Black" w:hAnsi="Arial Black" w:cs="Arial"/>
      <w:b/>
      <w:bCs/>
      <w:sz w:val="32"/>
      <w:szCs w:val="32"/>
      <w:lang w:eastAsia="en-US"/>
    </w:rPr>
  </w:style>
  <w:style w:type="character" w:customStyle="1" w:styleId="FootnoteTextChar">
    <w:name w:val="Footnote Text Char"/>
    <w:link w:val="FootnoteText"/>
    <w:rsid w:val="00791D7D"/>
    <w:rPr>
      <w:lang w:eastAsia="en-US"/>
    </w:rPr>
  </w:style>
  <w:style w:type="paragraph" w:customStyle="1" w:styleId="Default">
    <w:name w:val="Default"/>
    <w:rsid w:val="00791D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79">
      <w:bodyDiv w:val="1"/>
      <w:marLeft w:val="0"/>
      <w:marRight w:val="0"/>
      <w:marTop w:val="0"/>
      <w:marBottom w:val="0"/>
      <w:divBdr>
        <w:top w:val="none" w:sz="0" w:space="0" w:color="auto"/>
        <w:left w:val="none" w:sz="0" w:space="0" w:color="auto"/>
        <w:bottom w:val="none" w:sz="0" w:space="0" w:color="auto"/>
        <w:right w:val="none" w:sz="0" w:space="0" w:color="auto"/>
      </w:divBdr>
      <w:divsChild>
        <w:div w:id="1155990572">
          <w:marLeft w:val="547"/>
          <w:marRight w:val="0"/>
          <w:marTop w:val="106"/>
          <w:marBottom w:val="0"/>
          <w:divBdr>
            <w:top w:val="none" w:sz="0" w:space="0" w:color="auto"/>
            <w:left w:val="none" w:sz="0" w:space="0" w:color="auto"/>
            <w:bottom w:val="none" w:sz="0" w:space="0" w:color="auto"/>
            <w:right w:val="none" w:sz="0" w:space="0" w:color="auto"/>
          </w:divBdr>
        </w:div>
        <w:div w:id="2040743110">
          <w:marLeft w:val="547"/>
          <w:marRight w:val="0"/>
          <w:marTop w:val="106"/>
          <w:marBottom w:val="0"/>
          <w:divBdr>
            <w:top w:val="none" w:sz="0" w:space="0" w:color="auto"/>
            <w:left w:val="none" w:sz="0" w:space="0" w:color="auto"/>
            <w:bottom w:val="none" w:sz="0" w:space="0" w:color="auto"/>
            <w:right w:val="none" w:sz="0" w:space="0" w:color="auto"/>
          </w:divBdr>
        </w:div>
        <w:div w:id="1276252962">
          <w:marLeft w:val="1166"/>
          <w:marRight w:val="0"/>
          <w:marTop w:val="86"/>
          <w:marBottom w:val="0"/>
          <w:divBdr>
            <w:top w:val="none" w:sz="0" w:space="0" w:color="auto"/>
            <w:left w:val="none" w:sz="0" w:space="0" w:color="auto"/>
            <w:bottom w:val="none" w:sz="0" w:space="0" w:color="auto"/>
            <w:right w:val="none" w:sz="0" w:space="0" w:color="auto"/>
          </w:divBdr>
        </w:div>
        <w:div w:id="1837452910">
          <w:marLeft w:val="1166"/>
          <w:marRight w:val="0"/>
          <w:marTop w:val="86"/>
          <w:marBottom w:val="0"/>
          <w:divBdr>
            <w:top w:val="none" w:sz="0" w:space="0" w:color="auto"/>
            <w:left w:val="none" w:sz="0" w:space="0" w:color="auto"/>
            <w:bottom w:val="none" w:sz="0" w:space="0" w:color="auto"/>
            <w:right w:val="none" w:sz="0" w:space="0" w:color="auto"/>
          </w:divBdr>
        </w:div>
        <w:div w:id="596062564">
          <w:marLeft w:val="1800"/>
          <w:marRight w:val="0"/>
          <w:marTop w:val="77"/>
          <w:marBottom w:val="0"/>
          <w:divBdr>
            <w:top w:val="none" w:sz="0" w:space="0" w:color="auto"/>
            <w:left w:val="none" w:sz="0" w:space="0" w:color="auto"/>
            <w:bottom w:val="none" w:sz="0" w:space="0" w:color="auto"/>
            <w:right w:val="none" w:sz="0" w:space="0" w:color="auto"/>
          </w:divBdr>
        </w:div>
        <w:div w:id="1107506534">
          <w:marLeft w:val="1800"/>
          <w:marRight w:val="0"/>
          <w:marTop w:val="77"/>
          <w:marBottom w:val="0"/>
          <w:divBdr>
            <w:top w:val="none" w:sz="0" w:space="0" w:color="auto"/>
            <w:left w:val="none" w:sz="0" w:space="0" w:color="auto"/>
            <w:bottom w:val="none" w:sz="0" w:space="0" w:color="auto"/>
            <w:right w:val="none" w:sz="0" w:space="0" w:color="auto"/>
          </w:divBdr>
        </w:div>
        <w:div w:id="541018794">
          <w:marLeft w:val="547"/>
          <w:marRight w:val="0"/>
          <w:marTop w:val="106"/>
          <w:marBottom w:val="0"/>
          <w:divBdr>
            <w:top w:val="none" w:sz="0" w:space="0" w:color="auto"/>
            <w:left w:val="none" w:sz="0" w:space="0" w:color="auto"/>
            <w:bottom w:val="none" w:sz="0" w:space="0" w:color="auto"/>
            <w:right w:val="none" w:sz="0" w:space="0" w:color="auto"/>
          </w:divBdr>
        </w:div>
      </w:divsChild>
    </w:div>
    <w:div w:id="76096072">
      <w:bodyDiv w:val="1"/>
      <w:marLeft w:val="0"/>
      <w:marRight w:val="0"/>
      <w:marTop w:val="0"/>
      <w:marBottom w:val="0"/>
      <w:divBdr>
        <w:top w:val="none" w:sz="0" w:space="0" w:color="auto"/>
        <w:left w:val="none" w:sz="0" w:space="0" w:color="auto"/>
        <w:bottom w:val="none" w:sz="0" w:space="0" w:color="auto"/>
        <w:right w:val="none" w:sz="0" w:space="0" w:color="auto"/>
      </w:divBdr>
      <w:divsChild>
        <w:div w:id="145712222">
          <w:marLeft w:val="1166"/>
          <w:marRight w:val="0"/>
          <w:marTop w:val="96"/>
          <w:marBottom w:val="0"/>
          <w:divBdr>
            <w:top w:val="none" w:sz="0" w:space="0" w:color="auto"/>
            <w:left w:val="none" w:sz="0" w:space="0" w:color="auto"/>
            <w:bottom w:val="none" w:sz="0" w:space="0" w:color="auto"/>
            <w:right w:val="none" w:sz="0" w:space="0" w:color="auto"/>
          </w:divBdr>
        </w:div>
        <w:div w:id="306205023">
          <w:marLeft w:val="1166"/>
          <w:marRight w:val="0"/>
          <w:marTop w:val="96"/>
          <w:marBottom w:val="0"/>
          <w:divBdr>
            <w:top w:val="none" w:sz="0" w:space="0" w:color="auto"/>
            <w:left w:val="none" w:sz="0" w:space="0" w:color="auto"/>
            <w:bottom w:val="none" w:sz="0" w:space="0" w:color="auto"/>
            <w:right w:val="none" w:sz="0" w:space="0" w:color="auto"/>
          </w:divBdr>
        </w:div>
        <w:div w:id="1734816780">
          <w:marLeft w:val="1166"/>
          <w:marRight w:val="0"/>
          <w:marTop w:val="96"/>
          <w:marBottom w:val="0"/>
          <w:divBdr>
            <w:top w:val="none" w:sz="0" w:space="0" w:color="auto"/>
            <w:left w:val="none" w:sz="0" w:space="0" w:color="auto"/>
            <w:bottom w:val="none" w:sz="0" w:space="0" w:color="auto"/>
            <w:right w:val="none" w:sz="0" w:space="0" w:color="auto"/>
          </w:divBdr>
        </w:div>
        <w:div w:id="805776723">
          <w:marLeft w:val="1166"/>
          <w:marRight w:val="0"/>
          <w:marTop w:val="96"/>
          <w:marBottom w:val="0"/>
          <w:divBdr>
            <w:top w:val="none" w:sz="0" w:space="0" w:color="auto"/>
            <w:left w:val="none" w:sz="0" w:space="0" w:color="auto"/>
            <w:bottom w:val="none" w:sz="0" w:space="0" w:color="auto"/>
            <w:right w:val="none" w:sz="0" w:space="0" w:color="auto"/>
          </w:divBdr>
        </w:div>
        <w:div w:id="1544173081">
          <w:marLeft w:val="1166"/>
          <w:marRight w:val="0"/>
          <w:marTop w:val="96"/>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81099556">
      <w:bodyDiv w:val="1"/>
      <w:marLeft w:val="0"/>
      <w:marRight w:val="0"/>
      <w:marTop w:val="0"/>
      <w:marBottom w:val="0"/>
      <w:divBdr>
        <w:top w:val="none" w:sz="0" w:space="0" w:color="auto"/>
        <w:left w:val="none" w:sz="0" w:space="0" w:color="auto"/>
        <w:bottom w:val="none" w:sz="0" w:space="0" w:color="auto"/>
        <w:right w:val="none" w:sz="0" w:space="0" w:color="auto"/>
      </w:divBdr>
      <w:divsChild>
        <w:div w:id="1088766409">
          <w:marLeft w:val="547"/>
          <w:marRight w:val="0"/>
          <w:marTop w:val="106"/>
          <w:marBottom w:val="0"/>
          <w:divBdr>
            <w:top w:val="none" w:sz="0" w:space="0" w:color="auto"/>
            <w:left w:val="none" w:sz="0" w:space="0" w:color="auto"/>
            <w:bottom w:val="none" w:sz="0" w:space="0" w:color="auto"/>
            <w:right w:val="none" w:sz="0" w:space="0" w:color="auto"/>
          </w:divBdr>
        </w:div>
        <w:div w:id="655377506">
          <w:marLeft w:val="547"/>
          <w:marRight w:val="0"/>
          <w:marTop w:val="106"/>
          <w:marBottom w:val="0"/>
          <w:divBdr>
            <w:top w:val="none" w:sz="0" w:space="0" w:color="auto"/>
            <w:left w:val="none" w:sz="0" w:space="0" w:color="auto"/>
            <w:bottom w:val="none" w:sz="0" w:space="0" w:color="auto"/>
            <w:right w:val="none" w:sz="0" w:space="0" w:color="auto"/>
          </w:divBdr>
        </w:div>
        <w:div w:id="209732841">
          <w:marLeft w:val="1166"/>
          <w:marRight w:val="0"/>
          <w:marTop w:val="86"/>
          <w:marBottom w:val="0"/>
          <w:divBdr>
            <w:top w:val="none" w:sz="0" w:space="0" w:color="auto"/>
            <w:left w:val="none" w:sz="0" w:space="0" w:color="auto"/>
            <w:bottom w:val="none" w:sz="0" w:space="0" w:color="auto"/>
            <w:right w:val="none" w:sz="0" w:space="0" w:color="auto"/>
          </w:divBdr>
        </w:div>
        <w:div w:id="336344107">
          <w:marLeft w:val="1166"/>
          <w:marRight w:val="0"/>
          <w:marTop w:val="86"/>
          <w:marBottom w:val="0"/>
          <w:divBdr>
            <w:top w:val="none" w:sz="0" w:space="0" w:color="auto"/>
            <w:left w:val="none" w:sz="0" w:space="0" w:color="auto"/>
            <w:bottom w:val="none" w:sz="0" w:space="0" w:color="auto"/>
            <w:right w:val="none" w:sz="0" w:space="0" w:color="auto"/>
          </w:divBdr>
        </w:div>
        <w:div w:id="1511792356">
          <w:marLeft w:val="1800"/>
          <w:marRight w:val="0"/>
          <w:marTop w:val="77"/>
          <w:marBottom w:val="0"/>
          <w:divBdr>
            <w:top w:val="none" w:sz="0" w:space="0" w:color="auto"/>
            <w:left w:val="none" w:sz="0" w:space="0" w:color="auto"/>
            <w:bottom w:val="none" w:sz="0" w:space="0" w:color="auto"/>
            <w:right w:val="none" w:sz="0" w:space="0" w:color="auto"/>
          </w:divBdr>
        </w:div>
        <w:div w:id="1822842775">
          <w:marLeft w:val="1800"/>
          <w:marRight w:val="0"/>
          <w:marTop w:val="77"/>
          <w:marBottom w:val="0"/>
          <w:divBdr>
            <w:top w:val="none" w:sz="0" w:space="0" w:color="auto"/>
            <w:left w:val="none" w:sz="0" w:space="0" w:color="auto"/>
            <w:bottom w:val="none" w:sz="0" w:space="0" w:color="auto"/>
            <w:right w:val="none" w:sz="0" w:space="0" w:color="auto"/>
          </w:divBdr>
        </w:div>
        <w:div w:id="1453017731">
          <w:marLeft w:val="547"/>
          <w:marRight w:val="0"/>
          <w:marTop w:val="106"/>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6743537">
      <w:bodyDiv w:val="1"/>
      <w:marLeft w:val="0"/>
      <w:marRight w:val="0"/>
      <w:marTop w:val="0"/>
      <w:marBottom w:val="0"/>
      <w:divBdr>
        <w:top w:val="none" w:sz="0" w:space="0" w:color="auto"/>
        <w:left w:val="none" w:sz="0" w:space="0" w:color="auto"/>
        <w:bottom w:val="none" w:sz="0" w:space="0" w:color="auto"/>
        <w:right w:val="none" w:sz="0" w:space="0" w:color="auto"/>
      </w:divBdr>
      <w:divsChild>
        <w:div w:id="272175705">
          <w:marLeft w:val="0"/>
          <w:marRight w:val="0"/>
          <w:marTop w:val="0"/>
          <w:marBottom w:val="0"/>
          <w:divBdr>
            <w:top w:val="none" w:sz="0" w:space="0" w:color="auto"/>
            <w:left w:val="none" w:sz="0" w:space="0" w:color="auto"/>
            <w:bottom w:val="none" w:sz="0" w:space="0" w:color="auto"/>
            <w:right w:val="none" w:sz="0" w:space="0" w:color="auto"/>
          </w:divBdr>
        </w:div>
        <w:div w:id="287514667">
          <w:marLeft w:val="0"/>
          <w:marRight w:val="0"/>
          <w:marTop w:val="0"/>
          <w:marBottom w:val="0"/>
          <w:divBdr>
            <w:top w:val="none" w:sz="0" w:space="0" w:color="auto"/>
            <w:left w:val="none" w:sz="0" w:space="0" w:color="auto"/>
            <w:bottom w:val="none" w:sz="0" w:space="0" w:color="auto"/>
            <w:right w:val="none" w:sz="0" w:space="0" w:color="auto"/>
          </w:divBdr>
        </w:div>
        <w:div w:id="592469536">
          <w:marLeft w:val="0"/>
          <w:marRight w:val="0"/>
          <w:marTop w:val="0"/>
          <w:marBottom w:val="0"/>
          <w:divBdr>
            <w:top w:val="none" w:sz="0" w:space="0" w:color="auto"/>
            <w:left w:val="none" w:sz="0" w:space="0" w:color="auto"/>
            <w:bottom w:val="none" w:sz="0" w:space="0" w:color="auto"/>
            <w:right w:val="none" w:sz="0" w:space="0" w:color="auto"/>
          </w:divBdr>
        </w:div>
        <w:div w:id="728915458">
          <w:marLeft w:val="0"/>
          <w:marRight w:val="0"/>
          <w:marTop w:val="0"/>
          <w:marBottom w:val="0"/>
          <w:divBdr>
            <w:top w:val="none" w:sz="0" w:space="0" w:color="auto"/>
            <w:left w:val="none" w:sz="0" w:space="0" w:color="auto"/>
            <w:bottom w:val="none" w:sz="0" w:space="0" w:color="auto"/>
            <w:right w:val="none" w:sz="0" w:space="0" w:color="auto"/>
          </w:divBdr>
        </w:div>
        <w:div w:id="1281568821">
          <w:marLeft w:val="0"/>
          <w:marRight w:val="0"/>
          <w:marTop w:val="0"/>
          <w:marBottom w:val="0"/>
          <w:divBdr>
            <w:top w:val="none" w:sz="0" w:space="0" w:color="auto"/>
            <w:left w:val="none" w:sz="0" w:space="0" w:color="auto"/>
            <w:bottom w:val="none" w:sz="0" w:space="0" w:color="auto"/>
            <w:right w:val="none" w:sz="0" w:space="0" w:color="auto"/>
          </w:divBdr>
        </w:div>
        <w:div w:id="1324973137">
          <w:marLeft w:val="0"/>
          <w:marRight w:val="0"/>
          <w:marTop w:val="0"/>
          <w:marBottom w:val="0"/>
          <w:divBdr>
            <w:top w:val="none" w:sz="0" w:space="0" w:color="auto"/>
            <w:left w:val="none" w:sz="0" w:space="0" w:color="auto"/>
            <w:bottom w:val="none" w:sz="0" w:space="0" w:color="auto"/>
            <w:right w:val="none" w:sz="0" w:space="0" w:color="auto"/>
          </w:divBdr>
        </w:div>
        <w:div w:id="1658462431">
          <w:marLeft w:val="0"/>
          <w:marRight w:val="0"/>
          <w:marTop w:val="0"/>
          <w:marBottom w:val="0"/>
          <w:divBdr>
            <w:top w:val="none" w:sz="0" w:space="0" w:color="auto"/>
            <w:left w:val="none" w:sz="0" w:space="0" w:color="auto"/>
            <w:bottom w:val="none" w:sz="0" w:space="0" w:color="auto"/>
            <w:right w:val="none" w:sz="0" w:space="0" w:color="auto"/>
          </w:divBdr>
        </w:div>
        <w:div w:id="1668090225">
          <w:marLeft w:val="0"/>
          <w:marRight w:val="0"/>
          <w:marTop w:val="0"/>
          <w:marBottom w:val="0"/>
          <w:divBdr>
            <w:top w:val="none" w:sz="0" w:space="0" w:color="auto"/>
            <w:left w:val="none" w:sz="0" w:space="0" w:color="auto"/>
            <w:bottom w:val="none" w:sz="0" w:space="0" w:color="auto"/>
            <w:right w:val="none" w:sz="0" w:space="0" w:color="auto"/>
          </w:divBdr>
        </w:div>
        <w:div w:id="2016492787">
          <w:marLeft w:val="0"/>
          <w:marRight w:val="0"/>
          <w:marTop w:val="0"/>
          <w:marBottom w:val="0"/>
          <w:divBdr>
            <w:top w:val="none" w:sz="0" w:space="0" w:color="auto"/>
            <w:left w:val="none" w:sz="0" w:space="0" w:color="auto"/>
            <w:bottom w:val="none" w:sz="0" w:space="0" w:color="auto"/>
            <w:right w:val="none" w:sz="0" w:space="0" w:color="auto"/>
          </w:divBdr>
        </w:div>
      </w:divsChild>
    </w:div>
    <w:div w:id="661738115">
      <w:bodyDiv w:val="1"/>
      <w:marLeft w:val="0"/>
      <w:marRight w:val="0"/>
      <w:marTop w:val="0"/>
      <w:marBottom w:val="0"/>
      <w:divBdr>
        <w:top w:val="none" w:sz="0" w:space="0" w:color="auto"/>
        <w:left w:val="none" w:sz="0" w:space="0" w:color="auto"/>
        <w:bottom w:val="none" w:sz="0" w:space="0" w:color="auto"/>
        <w:right w:val="none" w:sz="0" w:space="0" w:color="auto"/>
      </w:divBdr>
      <w:divsChild>
        <w:div w:id="1864199342">
          <w:marLeft w:val="547"/>
          <w:marRight w:val="0"/>
          <w:marTop w:val="96"/>
          <w:marBottom w:val="0"/>
          <w:divBdr>
            <w:top w:val="none" w:sz="0" w:space="0" w:color="auto"/>
            <w:left w:val="none" w:sz="0" w:space="0" w:color="auto"/>
            <w:bottom w:val="none" w:sz="0" w:space="0" w:color="auto"/>
            <w:right w:val="none" w:sz="0" w:space="0" w:color="auto"/>
          </w:divBdr>
        </w:div>
        <w:div w:id="489180043">
          <w:marLeft w:val="1166"/>
          <w:marRight w:val="0"/>
          <w:marTop w:val="77"/>
          <w:marBottom w:val="0"/>
          <w:divBdr>
            <w:top w:val="none" w:sz="0" w:space="0" w:color="auto"/>
            <w:left w:val="none" w:sz="0" w:space="0" w:color="auto"/>
            <w:bottom w:val="none" w:sz="0" w:space="0" w:color="auto"/>
            <w:right w:val="none" w:sz="0" w:space="0" w:color="auto"/>
          </w:divBdr>
        </w:div>
        <w:div w:id="1515801720">
          <w:marLeft w:val="547"/>
          <w:marRight w:val="0"/>
          <w:marTop w:val="96"/>
          <w:marBottom w:val="0"/>
          <w:divBdr>
            <w:top w:val="none" w:sz="0" w:space="0" w:color="auto"/>
            <w:left w:val="none" w:sz="0" w:space="0" w:color="auto"/>
            <w:bottom w:val="none" w:sz="0" w:space="0" w:color="auto"/>
            <w:right w:val="none" w:sz="0" w:space="0" w:color="auto"/>
          </w:divBdr>
        </w:div>
        <w:div w:id="1045451866">
          <w:marLeft w:val="1166"/>
          <w:marRight w:val="0"/>
          <w:marTop w:val="77"/>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57432286">
      <w:bodyDiv w:val="1"/>
      <w:marLeft w:val="0"/>
      <w:marRight w:val="0"/>
      <w:marTop w:val="0"/>
      <w:marBottom w:val="0"/>
      <w:divBdr>
        <w:top w:val="none" w:sz="0" w:space="0" w:color="auto"/>
        <w:left w:val="none" w:sz="0" w:space="0" w:color="auto"/>
        <w:bottom w:val="none" w:sz="0" w:space="0" w:color="auto"/>
        <w:right w:val="none" w:sz="0" w:space="0" w:color="auto"/>
      </w:divBdr>
    </w:div>
    <w:div w:id="867984198">
      <w:bodyDiv w:val="1"/>
      <w:marLeft w:val="0"/>
      <w:marRight w:val="0"/>
      <w:marTop w:val="0"/>
      <w:marBottom w:val="0"/>
      <w:divBdr>
        <w:top w:val="none" w:sz="0" w:space="0" w:color="auto"/>
        <w:left w:val="none" w:sz="0" w:space="0" w:color="auto"/>
        <w:bottom w:val="none" w:sz="0" w:space="0" w:color="auto"/>
        <w:right w:val="none" w:sz="0" w:space="0" w:color="auto"/>
      </w:divBdr>
    </w:div>
    <w:div w:id="897087907">
      <w:bodyDiv w:val="1"/>
      <w:marLeft w:val="0"/>
      <w:marRight w:val="0"/>
      <w:marTop w:val="0"/>
      <w:marBottom w:val="0"/>
      <w:divBdr>
        <w:top w:val="none" w:sz="0" w:space="0" w:color="auto"/>
        <w:left w:val="none" w:sz="0" w:space="0" w:color="auto"/>
        <w:bottom w:val="none" w:sz="0" w:space="0" w:color="auto"/>
        <w:right w:val="none" w:sz="0" w:space="0" w:color="auto"/>
      </w:divBdr>
      <w:divsChild>
        <w:div w:id="1306934167">
          <w:marLeft w:val="547"/>
          <w:marRight w:val="0"/>
          <w:marTop w:val="115"/>
          <w:marBottom w:val="0"/>
          <w:divBdr>
            <w:top w:val="none" w:sz="0" w:space="0" w:color="auto"/>
            <w:left w:val="none" w:sz="0" w:space="0" w:color="auto"/>
            <w:bottom w:val="none" w:sz="0" w:space="0" w:color="auto"/>
            <w:right w:val="none" w:sz="0" w:space="0" w:color="auto"/>
          </w:divBdr>
        </w:div>
      </w:divsChild>
    </w:div>
    <w:div w:id="900946004">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10081488">
      <w:bodyDiv w:val="1"/>
      <w:marLeft w:val="0"/>
      <w:marRight w:val="0"/>
      <w:marTop w:val="0"/>
      <w:marBottom w:val="0"/>
      <w:divBdr>
        <w:top w:val="none" w:sz="0" w:space="0" w:color="auto"/>
        <w:left w:val="none" w:sz="0" w:space="0" w:color="auto"/>
        <w:bottom w:val="none" w:sz="0" w:space="0" w:color="auto"/>
        <w:right w:val="none" w:sz="0" w:space="0" w:color="auto"/>
      </w:divBdr>
    </w:div>
    <w:div w:id="1190335161">
      <w:bodyDiv w:val="1"/>
      <w:marLeft w:val="0"/>
      <w:marRight w:val="0"/>
      <w:marTop w:val="0"/>
      <w:marBottom w:val="0"/>
      <w:divBdr>
        <w:top w:val="none" w:sz="0" w:space="0" w:color="auto"/>
        <w:left w:val="none" w:sz="0" w:space="0" w:color="auto"/>
        <w:bottom w:val="none" w:sz="0" w:space="0" w:color="auto"/>
        <w:right w:val="none" w:sz="0" w:space="0" w:color="auto"/>
      </w:divBdr>
      <w:divsChild>
        <w:div w:id="572814351">
          <w:marLeft w:val="547"/>
          <w:marRight w:val="0"/>
          <w:marTop w:val="96"/>
          <w:marBottom w:val="0"/>
          <w:divBdr>
            <w:top w:val="none" w:sz="0" w:space="0" w:color="auto"/>
            <w:left w:val="none" w:sz="0" w:space="0" w:color="auto"/>
            <w:bottom w:val="none" w:sz="0" w:space="0" w:color="auto"/>
            <w:right w:val="none" w:sz="0" w:space="0" w:color="auto"/>
          </w:divBdr>
        </w:div>
        <w:div w:id="1598905239">
          <w:marLeft w:val="547"/>
          <w:marRight w:val="0"/>
          <w:marTop w:val="96"/>
          <w:marBottom w:val="0"/>
          <w:divBdr>
            <w:top w:val="none" w:sz="0" w:space="0" w:color="auto"/>
            <w:left w:val="none" w:sz="0" w:space="0" w:color="auto"/>
            <w:bottom w:val="none" w:sz="0" w:space="0" w:color="auto"/>
            <w:right w:val="none" w:sz="0" w:space="0" w:color="auto"/>
          </w:divBdr>
        </w:div>
        <w:div w:id="510031845">
          <w:marLeft w:val="547"/>
          <w:marRight w:val="0"/>
          <w:marTop w:val="96"/>
          <w:marBottom w:val="0"/>
          <w:divBdr>
            <w:top w:val="none" w:sz="0" w:space="0" w:color="auto"/>
            <w:left w:val="none" w:sz="0" w:space="0" w:color="auto"/>
            <w:bottom w:val="none" w:sz="0" w:space="0" w:color="auto"/>
            <w:right w:val="none" w:sz="0" w:space="0" w:color="auto"/>
          </w:divBdr>
        </w:div>
        <w:div w:id="778913980">
          <w:marLeft w:val="547"/>
          <w:marRight w:val="0"/>
          <w:marTop w:val="96"/>
          <w:marBottom w:val="0"/>
          <w:divBdr>
            <w:top w:val="none" w:sz="0" w:space="0" w:color="auto"/>
            <w:left w:val="none" w:sz="0" w:space="0" w:color="auto"/>
            <w:bottom w:val="none" w:sz="0" w:space="0" w:color="auto"/>
            <w:right w:val="none" w:sz="0" w:space="0" w:color="auto"/>
          </w:divBdr>
        </w:div>
        <w:div w:id="155922567">
          <w:marLeft w:val="547"/>
          <w:marRight w:val="0"/>
          <w:marTop w:val="96"/>
          <w:marBottom w:val="0"/>
          <w:divBdr>
            <w:top w:val="none" w:sz="0" w:space="0" w:color="auto"/>
            <w:left w:val="none" w:sz="0" w:space="0" w:color="auto"/>
            <w:bottom w:val="none" w:sz="0" w:space="0" w:color="auto"/>
            <w:right w:val="none" w:sz="0" w:space="0" w:color="auto"/>
          </w:divBdr>
        </w:div>
        <w:div w:id="2146775119">
          <w:marLeft w:val="547"/>
          <w:marRight w:val="0"/>
          <w:marTop w:val="96"/>
          <w:marBottom w:val="0"/>
          <w:divBdr>
            <w:top w:val="none" w:sz="0" w:space="0" w:color="auto"/>
            <w:left w:val="none" w:sz="0" w:space="0" w:color="auto"/>
            <w:bottom w:val="none" w:sz="0" w:space="0" w:color="auto"/>
            <w:right w:val="none" w:sz="0" w:space="0" w:color="auto"/>
          </w:divBdr>
        </w:div>
        <w:div w:id="1958752759">
          <w:marLeft w:val="547"/>
          <w:marRight w:val="0"/>
          <w:marTop w:val="96"/>
          <w:marBottom w:val="0"/>
          <w:divBdr>
            <w:top w:val="none" w:sz="0" w:space="0" w:color="auto"/>
            <w:left w:val="none" w:sz="0" w:space="0" w:color="auto"/>
            <w:bottom w:val="none" w:sz="0" w:space="0" w:color="auto"/>
            <w:right w:val="none" w:sz="0" w:space="0" w:color="auto"/>
          </w:divBdr>
        </w:div>
        <w:div w:id="1620261619">
          <w:marLeft w:val="547"/>
          <w:marRight w:val="0"/>
          <w:marTop w:val="96"/>
          <w:marBottom w:val="0"/>
          <w:divBdr>
            <w:top w:val="none" w:sz="0" w:space="0" w:color="auto"/>
            <w:left w:val="none" w:sz="0" w:space="0" w:color="auto"/>
            <w:bottom w:val="none" w:sz="0" w:space="0" w:color="auto"/>
            <w:right w:val="none" w:sz="0" w:space="0" w:color="auto"/>
          </w:divBdr>
        </w:div>
        <w:div w:id="68429215">
          <w:marLeft w:val="547"/>
          <w:marRight w:val="0"/>
          <w:marTop w:val="96"/>
          <w:marBottom w:val="0"/>
          <w:divBdr>
            <w:top w:val="none" w:sz="0" w:space="0" w:color="auto"/>
            <w:left w:val="none" w:sz="0" w:space="0" w:color="auto"/>
            <w:bottom w:val="none" w:sz="0" w:space="0" w:color="auto"/>
            <w:right w:val="none" w:sz="0" w:space="0" w:color="auto"/>
          </w:divBdr>
        </w:div>
      </w:divsChild>
    </w:div>
    <w:div w:id="1288316810">
      <w:bodyDiv w:val="1"/>
      <w:marLeft w:val="0"/>
      <w:marRight w:val="0"/>
      <w:marTop w:val="0"/>
      <w:marBottom w:val="0"/>
      <w:divBdr>
        <w:top w:val="none" w:sz="0" w:space="0" w:color="auto"/>
        <w:left w:val="none" w:sz="0" w:space="0" w:color="auto"/>
        <w:bottom w:val="none" w:sz="0" w:space="0" w:color="auto"/>
        <w:right w:val="none" w:sz="0" w:space="0" w:color="auto"/>
      </w:divBdr>
      <w:divsChild>
        <w:div w:id="1876381701">
          <w:marLeft w:val="547"/>
          <w:marRight w:val="0"/>
          <w:marTop w:val="86"/>
          <w:marBottom w:val="0"/>
          <w:divBdr>
            <w:top w:val="none" w:sz="0" w:space="0" w:color="auto"/>
            <w:left w:val="none" w:sz="0" w:space="0" w:color="auto"/>
            <w:bottom w:val="none" w:sz="0" w:space="0" w:color="auto"/>
            <w:right w:val="none" w:sz="0" w:space="0" w:color="auto"/>
          </w:divBdr>
        </w:div>
        <w:div w:id="1138644229">
          <w:marLeft w:val="547"/>
          <w:marRight w:val="0"/>
          <w:marTop w:val="86"/>
          <w:marBottom w:val="0"/>
          <w:divBdr>
            <w:top w:val="none" w:sz="0" w:space="0" w:color="auto"/>
            <w:left w:val="none" w:sz="0" w:space="0" w:color="auto"/>
            <w:bottom w:val="none" w:sz="0" w:space="0" w:color="auto"/>
            <w:right w:val="none" w:sz="0" w:space="0" w:color="auto"/>
          </w:divBdr>
        </w:div>
        <w:div w:id="739451381">
          <w:marLeft w:val="547"/>
          <w:marRight w:val="0"/>
          <w:marTop w:val="86"/>
          <w:marBottom w:val="0"/>
          <w:divBdr>
            <w:top w:val="none" w:sz="0" w:space="0" w:color="auto"/>
            <w:left w:val="none" w:sz="0" w:space="0" w:color="auto"/>
            <w:bottom w:val="none" w:sz="0" w:space="0" w:color="auto"/>
            <w:right w:val="none" w:sz="0" w:space="0" w:color="auto"/>
          </w:divBdr>
        </w:div>
      </w:divsChild>
    </w:div>
    <w:div w:id="1386489747">
      <w:bodyDiv w:val="1"/>
      <w:marLeft w:val="0"/>
      <w:marRight w:val="0"/>
      <w:marTop w:val="0"/>
      <w:marBottom w:val="0"/>
      <w:divBdr>
        <w:top w:val="none" w:sz="0" w:space="0" w:color="auto"/>
        <w:left w:val="none" w:sz="0" w:space="0" w:color="auto"/>
        <w:bottom w:val="none" w:sz="0" w:space="0" w:color="auto"/>
        <w:right w:val="none" w:sz="0" w:space="0" w:color="auto"/>
      </w:divBdr>
      <w:divsChild>
        <w:div w:id="32774995">
          <w:marLeft w:val="547"/>
          <w:marRight w:val="0"/>
          <w:marTop w:val="115"/>
          <w:marBottom w:val="0"/>
          <w:divBdr>
            <w:top w:val="none" w:sz="0" w:space="0" w:color="auto"/>
            <w:left w:val="none" w:sz="0" w:space="0" w:color="auto"/>
            <w:bottom w:val="none" w:sz="0" w:space="0" w:color="auto"/>
            <w:right w:val="none" w:sz="0" w:space="0" w:color="auto"/>
          </w:divBdr>
        </w:div>
        <w:div w:id="737825632">
          <w:marLeft w:val="1166"/>
          <w:marRight w:val="0"/>
          <w:marTop w:val="67"/>
          <w:marBottom w:val="0"/>
          <w:divBdr>
            <w:top w:val="none" w:sz="0" w:space="0" w:color="auto"/>
            <w:left w:val="none" w:sz="0" w:space="0" w:color="auto"/>
            <w:bottom w:val="none" w:sz="0" w:space="0" w:color="auto"/>
            <w:right w:val="none" w:sz="0" w:space="0" w:color="auto"/>
          </w:divBdr>
        </w:div>
        <w:div w:id="325868349">
          <w:marLeft w:val="1166"/>
          <w:marRight w:val="0"/>
          <w:marTop w:val="67"/>
          <w:marBottom w:val="0"/>
          <w:divBdr>
            <w:top w:val="none" w:sz="0" w:space="0" w:color="auto"/>
            <w:left w:val="none" w:sz="0" w:space="0" w:color="auto"/>
            <w:bottom w:val="none" w:sz="0" w:space="0" w:color="auto"/>
            <w:right w:val="none" w:sz="0" w:space="0" w:color="auto"/>
          </w:divBdr>
        </w:div>
      </w:divsChild>
    </w:div>
    <w:div w:id="1497308745">
      <w:bodyDiv w:val="1"/>
      <w:marLeft w:val="0"/>
      <w:marRight w:val="0"/>
      <w:marTop w:val="0"/>
      <w:marBottom w:val="0"/>
      <w:divBdr>
        <w:top w:val="none" w:sz="0" w:space="0" w:color="auto"/>
        <w:left w:val="none" w:sz="0" w:space="0" w:color="auto"/>
        <w:bottom w:val="none" w:sz="0" w:space="0" w:color="auto"/>
        <w:right w:val="none" w:sz="0" w:space="0" w:color="auto"/>
      </w:divBdr>
    </w:div>
    <w:div w:id="1743402670">
      <w:bodyDiv w:val="1"/>
      <w:marLeft w:val="0"/>
      <w:marRight w:val="0"/>
      <w:marTop w:val="0"/>
      <w:marBottom w:val="0"/>
      <w:divBdr>
        <w:top w:val="none" w:sz="0" w:space="0" w:color="auto"/>
        <w:left w:val="none" w:sz="0" w:space="0" w:color="auto"/>
        <w:bottom w:val="none" w:sz="0" w:space="0" w:color="auto"/>
        <w:right w:val="none" w:sz="0" w:space="0" w:color="auto"/>
      </w:divBdr>
      <w:divsChild>
        <w:div w:id="2099473568">
          <w:marLeft w:val="547"/>
          <w:marRight w:val="0"/>
          <w:marTop w:val="86"/>
          <w:marBottom w:val="0"/>
          <w:divBdr>
            <w:top w:val="none" w:sz="0" w:space="0" w:color="auto"/>
            <w:left w:val="none" w:sz="0" w:space="0" w:color="auto"/>
            <w:bottom w:val="none" w:sz="0" w:space="0" w:color="auto"/>
            <w:right w:val="none" w:sz="0" w:space="0" w:color="auto"/>
          </w:divBdr>
        </w:div>
      </w:divsChild>
    </w:div>
    <w:div w:id="2057659957">
      <w:bodyDiv w:val="1"/>
      <w:marLeft w:val="0"/>
      <w:marRight w:val="0"/>
      <w:marTop w:val="0"/>
      <w:marBottom w:val="0"/>
      <w:divBdr>
        <w:top w:val="none" w:sz="0" w:space="0" w:color="auto"/>
        <w:left w:val="none" w:sz="0" w:space="0" w:color="auto"/>
        <w:bottom w:val="none" w:sz="0" w:space="0" w:color="auto"/>
        <w:right w:val="none" w:sz="0" w:space="0" w:color="auto"/>
      </w:divBdr>
      <w:divsChild>
        <w:div w:id="1097097726">
          <w:marLeft w:val="547"/>
          <w:marRight w:val="0"/>
          <w:marTop w:val="96"/>
          <w:marBottom w:val="0"/>
          <w:divBdr>
            <w:top w:val="none" w:sz="0" w:space="0" w:color="auto"/>
            <w:left w:val="none" w:sz="0" w:space="0" w:color="auto"/>
            <w:bottom w:val="none" w:sz="0" w:space="0" w:color="auto"/>
            <w:right w:val="none" w:sz="0" w:space="0" w:color="auto"/>
          </w:divBdr>
        </w:div>
        <w:div w:id="1780952601">
          <w:marLeft w:val="1166"/>
          <w:marRight w:val="0"/>
          <w:marTop w:val="77"/>
          <w:marBottom w:val="0"/>
          <w:divBdr>
            <w:top w:val="none" w:sz="0" w:space="0" w:color="auto"/>
            <w:left w:val="none" w:sz="0" w:space="0" w:color="auto"/>
            <w:bottom w:val="none" w:sz="0" w:space="0" w:color="auto"/>
            <w:right w:val="none" w:sz="0" w:space="0" w:color="auto"/>
          </w:divBdr>
        </w:div>
        <w:div w:id="1604872223">
          <w:marLeft w:val="547"/>
          <w:marRight w:val="0"/>
          <w:marTop w:val="96"/>
          <w:marBottom w:val="0"/>
          <w:divBdr>
            <w:top w:val="none" w:sz="0" w:space="0" w:color="auto"/>
            <w:left w:val="none" w:sz="0" w:space="0" w:color="auto"/>
            <w:bottom w:val="none" w:sz="0" w:space="0" w:color="auto"/>
            <w:right w:val="none" w:sz="0" w:space="0" w:color="auto"/>
          </w:divBdr>
        </w:div>
        <w:div w:id="205712397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rrow.gov.uk/planning-develop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ondon.gov.uk/programmes-strategies/planning/lond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5759/NPPF_July_2021.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moderngov.harrow.gov.uk/documents/s179826/Local%20Development%20Scheme%20-%20Background%20Paper%20Legislative%20Risk.pdf" TargetMode="External"/><Relationship Id="rId1" Type="http://schemas.openxmlformats.org/officeDocument/2006/relationships/hyperlink" Target="https://www.harrow.gov.uk/downloads/file/23250/local-plan-core-strategy-nppf-compliance-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22986</CharactersWithSpaces>
  <SharedDoc>false</SharedDoc>
  <HLinks>
    <vt:vector size="18" baseType="variant">
      <vt:variant>
        <vt:i4>7602273</vt:i4>
      </vt:variant>
      <vt:variant>
        <vt:i4>6</vt:i4>
      </vt:variant>
      <vt:variant>
        <vt:i4>0</vt:i4>
      </vt:variant>
      <vt:variant>
        <vt:i4>5</vt:i4>
      </vt:variant>
      <vt:variant>
        <vt:lpwstr>https://www.harrow.gov.uk/planning-developments</vt:lpwstr>
      </vt:variant>
      <vt:variant>
        <vt:lpwstr/>
      </vt:variant>
      <vt:variant>
        <vt:i4>1704001</vt:i4>
      </vt:variant>
      <vt:variant>
        <vt:i4>3</vt:i4>
      </vt:variant>
      <vt:variant>
        <vt:i4>0</vt:i4>
      </vt:variant>
      <vt:variant>
        <vt:i4>5</vt:i4>
      </vt:variant>
      <vt:variant>
        <vt:lpwstr>https://www.london.gov.uk/programmes-strategies/planning/london-plan</vt:lpwstr>
      </vt:variant>
      <vt:variant>
        <vt:lpwstr/>
      </vt:variant>
      <vt:variant>
        <vt:i4>7012381</vt:i4>
      </vt:variant>
      <vt:variant>
        <vt:i4>0</vt:i4>
      </vt:variant>
      <vt:variant>
        <vt:i4>0</vt:i4>
      </vt:variant>
      <vt:variant>
        <vt:i4>5</vt:i4>
      </vt:variant>
      <vt:variant>
        <vt:lpwstr>https://assets.publishing.service.gov.uk/government/uploads/system/uploads/attachment_data/file/1005759/NPPF_July_2021.pdf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David Hughes</cp:lastModifiedBy>
  <cp:revision>2</cp:revision>
  <cp:lastPrinted>2014-10-31T23:34:00Z</cp:lastPrinted>
  <dcterms:created xsi:type="dcterms:W3CDTF">2023-02-24T07:54:00Z</dcterms:created>
  <dcterms:modified xsi:type="dcterms:W3CDTF">2023-02-24T07:54:00Z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